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Times new roman" w:hAnsi="Times new roman"/>
          <w:sz w:val="20"/>
          <w:szCs w:val="20"/>
        </w:rPr>
      </w:pPr>
      <w:r>
        <w:rPr/>
        <w:drawing>
          <wp:inline distT="0" distB="0" distL="0" distR="0">
            <wp:extent cx="838835" cy="87757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838835" cy="877570"/>
                    </a:xfrm>
                    <a:prstGeom prst="rect">
                      <a:avLst/>
                    </a:prstGeom>
                  </pic:spPr>
                </pic:pic>
              </a:graphicData>
            </a:graphic>
          </wp:inline>
        </w:drawing>
      </w:r>
    </w:p>
    <w:p>
      <w:pPr>
        <w:pStyle w:val="Normal"/>
        <w:widowControl/>
        <w:suppressAutoHyphens w:val="false"/>
        <w:jc w:val="center"/>
        <w:rPr/>
      </w:pPr>
      <w:r>
        <w:rPr>
          <w:rFonts w:eastAsia="Calibri" w:ascii="Times new roman" w:hAnsi="Times new roman"/>
          <w:b/>
          <w:bCs/>
          <w:sz w:val="20"/>
          <w:szCs w:val="20"/>
          <w:lang w:eastAsia="en-US"/>
        </w:rPr>
        <w:t>MINISTÉRIO DA DEFESA</w:t>
      </w:r>
    </w:p>
    <w:p>
      <w:pPr>
        <w:pStyle w:val="Normal"/>
        <w:widowControl/>
        <w:suppressAutoHyphens w:val="false"/>
        <w:jc w:val="center"/>
        <w:rPr/>
      </w:pPr>
      <w:r>
        <w:rPr>
          <w:rFonts w:eastAsia="Calibri" w:ascii="Times new roman" w:hAnsi="Times new roman"/>
          <w:b/>
          <w:bCs/>
          <w:sz w:val="20"/>
          <w:szCs w:val="20"/>
          <w:lang w:eastAsia="en-US"/>
        </w:rPr>
        <w:t>EXÉRCITO BRASILEIRO</w:t>
      </w:r>
    </w:p>
    <w:p>
      <w:pPr>
        <w:pStyle w:val="Normal"/>
        <w:widowControl/>
        <w:suppressAutoHyphens w:val="false"/>
        <w:jc w:val="center"/>
        <w:rPr/>
      </w:pPr>
      <w:r>
        <w:rPr>
          <w:rFonts w:eastAsia="Calibri" w:ascii="Times new roman" w:hAnsi="Times new roman"/>
          <w:b/>
          <w:bCs/>
          <w:sz w:val="20"/>
          <w:szCs w:val="20"/>
          <w:lang w:eastAsia="en-US"/>
        </w:rPr>
        <w:t xml:space="preserve">CMS – 6ª DE </w:t>
      </w:r>
    </w:p>
    <w:p>
      <w:pPr>
        <w:pStyle w:val="Normal"/>
        <w:keepNext w:val="true"/>
        <w:widowControl/>
        <w:tabs>
          <w:tab w:val="clear" w:pos="408"/>
          <w:tab w:val="left" w:pos="708" w:leader="none"/>
        </w:tabs>
        <w:jc w:val="center"/>
        <w:rPr/>
      </w:pPr>
      <w:r>
        <w:rPr>
          <w:rFonts w:ascii="Times new roman" w:hAnsi="Times new roman"/>
          <w:b/>
          <w:bCs/>
          <w:sz w:val="20"/>
          <w:szCs w:val="20"/>
        </w:rPr>
        <w:t xml:space="preserve"> </w:t>
      </w:r>
      <w:r>
        <w:rPr>
          <w:rFonts w:ascii="Times new roman" w:hAnsi="Times new roman"/>
          <w:b/>
          <w:bCs/>
          <w:sz w:val="20"/>
          <w:szCs w:val="20"/>
        </w:rPr>
        <w:t>12º REGIMENTO DE CAVALARIA MECANIZADO</w:t>
      </w:r>
    </w:p>
    <w:p>
      <w:pPr>
        <w:pStyle w:val="Normal"/>
        <w:widowControl/>
        <w:suppressAutoHyphens w:val="false"/>
        <w:jc w:val="center"/>
        <w:rPr/>
      </w:pPr>
      <w:r>
        <w:rPr>
          <w:rFonts w:eastAsia="Calibri" w:ascii="Times new roman" w:hAnsi="Times new roman"/>
          <w:b/>
          <w:bCs/>
          <w:sz w:val="20"/>
          <w:szCs w:val="20"/>
          <w:lang w:eastAsia="en-US"/>
        </w:rPr>
        <w:t>(2º Regimento Auto Metralhadora de Cavalaria / 1943)</w:t>
      </w:r>
    </w:p>
    <w:p>
      <w:pPr>
        <w:pStyle w:val="Normal"/>
        <w:widowControl/>
        <w:tabs>
          <w:tab w:val="clear" w:pos="408"/>
          <w:tab w:val="left" w:pos="0" w:leader="none"/>
        </w:tabs>
        <w:spacing w:lineRule="auto" w:line="276"/>
        <w:jc w:val="center"/>
        <w:rPr/>
      </w:pPr>
      <w:r>
        <w:rPr>
          <w:rFonts w:cs="Arial" w:ascii="Times new roman" w:hAnsi="Times new roman"/>
          <w:b/>
          <w:bCs/>
          <w:i w:val="false"/>
          <w:iCs w:val="false"/>
          <w:smallCaps/>
          <w:color w:val="00000A"/>
          <w:sz w:val="20"/>
          <w:szCs w:val="20"/>
        </w:rPr>
        <w:t>“</w:t>
      </w:r>
      <w:r>
        <w:rPr>
          <w:rFonts w:cs="Arial" w:ascii="Times new roman" w:hAnsi="Times new roman"/>
          <w:b/>
          <w:bCs/>
          <w:i w:val="false"/>
          <w:iCs w:val="false"/>
          <w:smallCaps/>
          <w:color w:val="00000A"/>
          <w:sz w:val="20"/>
          <w:szCs w:val="20"/>
        </w:rPr>
        <w:t>REGIMENTO MARECHAL JOSÉ PESS</w:t>
      </w:r>
      <w:r>
        <w:rPr>
          <w:rFonts w:cs="Arial" w:ascii="Times new roman" w:hAnsi="Times new roman"/>
          <w:b/>
          <w:bCs/>
          <w:i w:val="false"/>
          <w:iCs w:val="false"/>
          <w:smallCaps/>
          <w:color w:val="00000A"/>
          <w:sz w:val="20"/>
          <w:szCs w:val="20"/>
        </w:rPr>
        <w:t>O</w:t>
      </w:r>
      <w:r>
        <w:rPr>
          <w:rFonts w:cs="Arial" w:ascii="Times new roman" w:hAnsi="Times new roman"/>
          <w:b/>
          <w:bCs/>
          <w:i w:val="false"/>
          <w:iCs w:val="false"/>
          <w:smallCaps/>
          <w:color w:val="00000A"/>
          <w:sz w:val="20"/>
          <w:szCs w:val="20"/>
        </w:rPr>
        <w:t>A”</w:t>
      </w:r>
    </w:p>
    <w:p>
      <w:pPr>
        <w:pStyle w:val="Normal"/>
        <w:widowControl/>
        <w:tabs>
          <w:tab w:val="clear" w:pos="408"/>
          <w:tab w:val="left" w:pos="0" w:leader="none"/>
        </w:tabs>
        <w:spacing w:lineRule="auto" w:line="276"/>
        <w:jc w:val="center"/>
        <w:rPr>
          <w:rFonts w:cs="Arial"/>
          <w:b/>
          <w:b/>
          <w:bCs/>
          <w:smallCaps/>
        </w:rPr>
      </w:pPr>
      <w:r>
        <w:rPr>
          <w:rFonts w:cs="Arial"/>
          <w:b/>
          <w:bCs/>
          <w:smallCaps/>
        </w:rPr>
      </w:r>
    </w:p>
    <w:p>
      <w:pPr>
        <w:pStyle w:val="Normal"/>
        <w:spacing w:lineRule="auto" w:line="276"/>
        <w:jc w:val="center"/>
        <w:rPr/>
      </w:pPr>
      <w:r>
        <w:rPr>
          <w:rFonts w:cs="Arial" w:ascii="Times new roman" w:hAnsi="Times new roman"/>
          <w:b/>
          <w:bCs/>
          <w:color w:val="000000" w:themeColor="text1"/>
          <w:sz w:val="20"/>
          <w:szCs w:val="20"/>
        </w:rPr>
        <w:t xml:space="preserve">AVISO DE DISPENSA ELETRÔNICA Nº </w:t>
      </w:r>
      <w:r>
        <w:rPr>
          <w:rFonts w:cs="Arial" w:ascii="Times new roman" w:hAnsi="Times new roman"/>
          <w:b/>
          <w:bCs/>
          <w:color w:val="000000" w:themeColor="text1"/>
          <w:sz w:val="20"/>
          <w:szCs w:val="20"/>
        </w:rPr>
        <w:t>90036</w:t>
      </w:r>
      <w:r>
        <w:rPr>
          <w:rFonts w:cs="Arial" w:ascii="Times new roman" w:hAnsi="Times new roman"/>
          <w:b/>
          <w:bCs/>
          <w:color w:val="000000" w:themeColor="text1"/>
          <w:sz w:val="20"/>
          <w:szCs w:val="20"/>
        </w:rPr>
        <w:t>/2024</w:t>
      </w:r>
    </w:p>
    <w:p>
      <w:pPr>
        <w:pStyle w:val="Normal"/>
        <w:spacing w:lineRule="auto" w:line="276" w:before="0" w:after="120"/>
        <w:ind w:right="-15" w:hanging="0"/>
        <w:jc w:val="center"/>
        <w:rPr/>
      </w:pPr>
      <w:r>
        <w:rPr>
          <w:rFonts w:cs="Arial" w:ascii="Times new roman" w:hAnsi="Times new roman"/>
          <w:b/>
          <w:bCs/>
          <w:color w:val="000000" w:themeColor="text1"/>
          <w:sz w:val="20"/>
          <w:szCs w:val="20"/>
        </w:rPr>
        <w:t>(Processo Administrativo n</w:t>
      </w:r>
      <w:r>
        <w:rPr>
          <w:rFonts w:cs="Arial" w:ascii="Times new roman" w:hAnsi="Times new roman"/>
          <w:b/>
          <w:bCs/>
          <w:color w:val="000000" w:themeColor="text1"/>
          <w:sz w:val="20"/>
          <w:szCs w:val="20"/>
          <w:shd w:fill="auto" w:val="clear"/>
        </w:rPr>
        <w:t>.° 64681.005576/2024-18)</w:t>
      </w:r>
    </w:p>
    <w:p>
      <w:pPr>
        <w:pStyle w:val="Normal"/>
        <w:rPr>
          <w:rFonts w:ascii="Times new roman" w:hAnsi="Times new roman" w:cs="Arial"/>
        </w:rPr>
      </w:pPr>
      <w:r>
        <w:rPr>
          <w:rFonts w:cs="Arial" w:ascii="Times new roman" w:hAnsi="Times new roman"/>
        </w:rPr>
      </w:r>
    </w:p>
    <w:p>
      <w:pPr>
        <w:pStyle w:val="Normal"/>
        <w:snapToGrid w:val="false"/>
        <w:spacing w:lineRule="auto" w:line="276" w:before="0" w:after="120"/>
        <w:ind w:right="-30" w:firstLine="540"/>
        <w:jc w:val="both"/>
        <w:rPr>
          <w:rFonts w:ascii="Times new roman" w:hAnsi="Times new roman"/>
          <w:b w:val="false"/>
          <w:b w:val="false"/>
          <w:bCs w:val="false"/>
          <w:color w:val="00000A"/>
        </w:rPr>
      </w:pPr>
      <w:r>
        <w:rPr>
          <w:rFonts w:cs="Arial" w:ascii="Times new roman" w:hAnsi="Times new roman"/>
          <w:b w:val="false"/>
          <w:bCs w:val="false"/>
          <w:color w:val="00000A"/>
          <w:szCs w:val="20"/>
        </w:rPr>
        <w:t>Torna-se público que o 12º Regimento de Cavalaria Mecanizado, por meio do</w:t>
      </w:r>
      <w:r>
        <w:rPr>
          <w:rFonts w:eastAsia="Arial" w:cs="Arial" w:ascii="Times new roman" w:hAnsi="Times new roman"/>
          <w:b w:val="false"/>
          <w:bCs w:val="false"/>
          <w:color w:val="00000A"/>
          <w:szCs w:val="20"/>
        </w:rPr>
        <w:t xml:space="preserve"> Setor de Aquisições Licitações e Contratos</w:t>
      </w:r>
      <w:r>
        <w:rPr>
          <w:rFonts w:cs="Arial" w:ascii="Times new roman" w:hAnsi="Times new roman"/>
          <w:b w:val="false"/>
          <w:bCs w:val="false"/>
          <w:color w:val="00000A"/>
          <w:szCs w:val="20"/>
        </w:rPr>
        <w:t>, realizará Dispensa Eletrônica, com critério de julgamento MENOR PREÇO</w:t>
      </w:r>
      <w:r>
        <w:rPr>
          <w:rFonts w:cs="Arial" w:ascii="Times new roman" w:hAnsi="Times new roman"/>
          <w:b w:val="false"/>
          <w:bCs w:val="false"/>
          <w:i/>
          <w:color w:val="00000A"/>
          <w:szCs w:val="20"/>
        </w:rPr>
        <w:t xml:space="preserve">, </w:t>
      </w:r>
      <w:r>
        <w:rPr>
          <w:rFonts w:cs="Arial" w:ascii="Times new roman" w:hAnsi="Times new roman"/>
          <w:b w:val="false"/>
          <w:bCs w:val="false"/>
          <w:color w:val="00000A"/>
          <w:szCs w:val="20"/>
        </w:rPr>
        <w:t>na hipótese do art. 75</w:t>
      </w:r>
      <w:r>
        <w:rPr>
          <w:rFonts w:cs="Arial" w:ascii="Times new roman" w:hAnsi="Times new roman"/>
          <w:b w:val="false"/>
          <w:bCs w:val="false"/>
          <w:i/>
          <w:iCs/>
          <w:color w:val="00000A"/>
          <w:szCs w:val="20"/>
        </w:rPr>
        <w:t>, inciso II,</w:t>
      </w:r>
      <w:r>
        <w:rPr>
          <w:rFonts w:cs="Arial" w:ascii="Times new roman" w:hAnsi="Times new roman"/>
          <w:b w:val="false"/>
          <w:bCs w:val="false"/>
          <w:color w:val="00000A"/>
          <w:szCs w:val="20"/>
        </w:rPr>
        <w:t xml:space="preserve"> nos termos da Lei nº 14.133, de 1º de abril de 2021, da Instrução Normativa SEGES/ME nº 67/2021 e demais legislação aplicável.</w:t>
      </w:r>
    </w:p>
    <w:p>
      <w:pPr>
        <w:pStyle w:val="Normal"/>
        <w:spacing w:lineRule="auto" w:line="276"/>
        <w:jc w:val="both"/>
        <w:rPr/>
      </w:pPr>
      <w:r>
        <w:rPr>
          <w:rFonts w:cs="Arial" w:ascii="Times new roman" w:hAnsi="Times new roman"/>
          <w:color w:val="000000" w:themeColor="text1"/>
          <w:szCs w:val="20"/>
          <w:shd w:fill="FFFFFF" w:val="clear"/>
        </w:rPr>
        <w:t xml:space="preserve">Data da sessão: </w:t>
      </w:r>
    </w:p>
    <w:p>
      <w:pPr>
        <w:pStyle w:val="Normal"/>
        <w:rPr/>
      </w:pPr>
      <w:r>
        <w:rPr>
          <w:rFonts w:cs="Arial" w:ascii="Times new roman" w:hAnsi="Times new roman"/>
          <w:color w:val="000000" w:themeColor="text1"/>
          <w:szCs w:val="20"/>
          <w:shd w:fill="FFFFFF" w:val="clear"/>
        </w:rPr>
        <w:t xml:space="preserve">Link:  </w:t>
      </w:r>
      <w:hyperlink r:id="rId3">
        <w:r>
          <w:rPr>
            <w:rStyle w:val="LinkdaInternet"/>
            <w:rFonts w:cs="Arial" w:ascii="Times new roman" w:hAnsi="Times new roman"/>
            <w:color w:val="000000" w:themeColor="text1"/>
            <w:szCs w:val="20"/>
            <w:lang w:val="zxx" w:eastAsia="zxx" w:bidi="zxx"/>
          </w:rPr>
          <w:t>https://www.gov.br/compras/pt-br/</w:t>
        </w:r>
      </w:hyperlink>
      <w:r>
        <w:rPr>
          <w:rFonts w:cs="Arial" w:ascii="Times new roman" w:hAnsi="Times new roman"/>
          <w:color w:val="000000" w:themeColor="text1"/>
          <w:szCs w:val="20"/>
          <w:shd w:fill="FFFFFF" w:val="clear"/>
        </w:rPr>
        <w:t xml:space="preserve"> </w:t>
      </w:r>
    </w:p>
    <w:p>
      <w:pPr>
        <w:pStyle w:val="Normal"/>
        <w:rPr/>
      </w:pPr>
      <w:r>
        <w:rPr>
          <w:rFonts w:cs="Arial" w:ascii="Times new roman" w:hAnsi="Times new roman"/>
          <w:color w:val="000000" w:themeColor="text1"/>
          <w:szCs w:val="20"/>
          <w:shd w:fill="FFFFFF" w:val="clear"/>
        </w:rPr>
        <w:t xml:space="preserve">Horário da Fase de Lances: 8:00 às </w:t>
      </w:r>
      <w:r>
        <w:rPr>
          <w:rFonts w:cs="Arial" w:ascii="Times new roman" w:hAnsi="Times new roman"/>
          <w:i/>
          <w:color w:val="000000"/>
          <w:szCs w:val="20"/>
          <w:shd w:fill="FFFFFF" w:val="clear"/>
        </w:rPr>
        <w:t>17:00</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OBJETO DA CONTRATAÇÃO DIRETA</w:t>
      </w:r>
    </w:p>
    <w:p>
      <w:pPr>
        <w:pStyle w:val="PADRO"/>
        <w:keepNext w:val="true"/>
        <w:widowControl/>
        <w:numPr>
          <w:ilvl w:val="1"/>
          <w:numId w:val="1"/>
        </w:numPr>
        <w:shd w:val="clear" w:color="auto" w:fill="auto"/>
        <w:spacing w:before="120" w:after="120"/>
        <w:rPr/>
      </w:pPr>
      <w:r>
        <w:rPr>
          <w:rFonts w:cs="Arial" w:ascii="TiMES NEW ROMAN" w:hAnsi="TiMES NEW ROMAN"/>
          <w:color w:val="000000" w:themeColor="text1"/>
          <w:sz w:val="20"/>
          <w:szCs w:val="20"/>
        </w:rPr>
        <w:t xml:space="preserve">O objeto da presente dispensa é a escolha da proposta mais vantajosa para a </w:t>
      </w:r>
      <w:r>
        <w:rPr>
          <w:rFonts w:cs="Arial" w:ascii="TiMES NEW ROMAN" w:hAnsi="TiMES NEW ROMAN"/>
          <w:color w:val="00000A"/>
          <w:sz w:val="20"/>
          <w:szCs w:val="20"/>
        </w:rPr>
        <w:t>aquisição</w:t>
      </w:r>
      <w:r>
        <w:rPr>
          <w:rFonts w:cs="Arial" w:ascii="TiMES NEW ROMAN" w:hAnsi="TiMES NEW ROMAN"/>
          <w:color w:val="000000" w:themeColor="text1"/>
          <w:sz w:val="20"/>
          <w:szCs w:val="20"/>
        </w:rPr>
        <w:t xml:space="preserve"> por dispensa de licitação </w:t>
      </w:r>
      <w:r>
        <w:rPr>
          <w:rStyle w:val="Tex5a"/>
          <w:rFonts w:eastAsia="Calibri" w:cs="Times New Roman" w:ascii="TiMES NEW ROMAN" w:hAnsi="TiMES NEW ROMAN"/>
          <w:b w:val="false"/>
          <w:bCs w:val="false"/>
          <w:i w:val="false"/>
          <w:iCs/>
          <w:caps w:val="false"/>
          <w:smallCaps w:val="false"/>
          <w:color w:val="00000A"/>
          <w:spacing w:val="0"/>
          <w:sz w:val="20"/>
          <w:szCs w:val="20"/>
          <w:u w:val="none"/>
          <w:lang w:val="pt-PT" w:eastAsia="en-US" w:bidi="hi-IN"/>
        </w:rPr>
        <w:t>de Passagens aéreas</w:t>
      </w:r>
      <w:r>
        <w:rPr>
          <w:rStyle w:val="Tex5a"/>
          <w:rFonts w:eastAsia="Calibri" w:cs="Times New Roman" w:ascii="TiMES NEW ROMAN" w:hAnsi="TiMES NEW ROMAN"/>
          <w:b w:val="false"/>
          <w:bCs w:val="false"/>
          <w:i w:val="false"/>
          <w:iCs/>
          <w:caps w:val="false"/>
          <w:smallCaps w:val="false"/>
          <w:color w:val="000000"/>
          <w:spacing w:val="0"/>
          <w:sz w:val="20"/>
          <w:szCs w:val="20"/>
          <w:u w:val="none"/>
          <w:lang w:val="pt-PT" w:eastAsia="en-US" w:bidi="hi-IN"/>
        </w:rPr>
        <w:t>,</w:t>
      </w:r>
      <w:r>
        <w:rPr>
          <w:rFonts w:cs="Arial" w:ascii="TiMES NEW ROMAN" w:hAnsi="TiMES NEW ROMAN"/>
          <w:color w:val="000000" w:themeColor="text1"/>
          <w:sz w:val="20"/>
          <w:szCs w:val="20"/>
        </w:rPr>
        <w:t xml:space="preserve"> conforme condições, quantidades e exigências estabelecidas neste Aviso de Contratação Direta e seus anexos.</w:t>
      </w:r>
    </w:p>
    <w:p>
      <w:pPr>
        <w:pStyle w:val="PADRO"/>
        <w:keepNext w:val="true"/>
        <w:widowControl/>
        <w:numPr>
          <w:ilvl w:val="1"/>
          <w:numId w:val="1"/>
        </w:numPr>
        <w:shd w:val="clear" w:color="auto" w:fill="auto"/>
        <w:spacing w:before="120" w:after="120"/>
        <w:rPr/>
      </w:pPr>
      <w:r>
        <w:rPr>
          <w:rFonts w:cs="Arial" w:ascii="Times new roman" w:hAnsi="Times new roman"/>
          <w:i w:val="false"/>
          <w:iCs w:val="false"/>
          <w:color w:val="00000A"/>
          <w:szCs w:val="20"/>
        </w:rPr>
        <w:t>A aquisição terá como objeto os itens conforme tabela constante abaixo.</w:t>
      </w:r>
    </w:p>
    <w:tbl>
      <w:tblPr>
        <w:tblW w:w="9780" w:type="dxa"/>
        <w:jc w:val="center"/>
        <w:tblInd w:w="0" w:type="dxa"/>
        <w:tblCellMar>
          <w:top w:w="0" w:type="dxa"/>
          <w:left w:w="58" w:type="dxa"/>
          <w:bottom w:w="0" w:type="dxa"/>
          <w:right w:w="108" w:type="dxa"/>
        </w:tblCellMar>
        <w:tblLook w:val="04a0" w:noHBand="0" w:noVBand="1" w:firstColumn="1" w:lastRow="0" w:lastColumn="0" w:firstRow="1"/>
      </w:tblPr>
      <w:tblGrid>
        <w:gridCol w:w="889"/>
        <w:gridCol w:w="5023"/>
        <w:gridCol w:w="1227"/>
        <w:gridCol w:w="1553"/>
        <w:gridCol w:w="1088"/>
      </w:tblGrid>
      <w:tr>
        <w:trPr/>
        <w:tc>
          <w:tcPr>
            <w:tcW w:w="8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ITEM</w:t>
            </w:r>
          </w:p>
          <w:p>
            <w:pPr>
              <w:pStyle w:val="Normal"/>
              <w:widowControl w:val="false"/>
              <w:suppressAutoHyphens w:val="true"/>
              <w:jc w:val="center"/>
              <w:rPr>
                <w:rFonts w:ascii="Times new roman" w:hAnsi="Times new roman" w:cs="Arial"/>
                <w:b/>
                <w:b/>
                <w:color w:val="000000"/>
                <w:sz w:val="20"/>
                <w:szCs w:val="20"/>
              </w:rPr>
            </w:pPr>
            <w:r>
              <w:rPr>
                <w:rFonts w:cs="Arial" w:ascii="Times new roman" w:hAnsi="Times new roman"/>
                <w:b/>
                <w:color w:val="000000"/>
                <w:sz w:val="20"/>
                <w:szCs w:val="20"/>
              </w:rPr>
            </w:r>
          </w:p>
        </w:tc>
        <w:tc>
          <w:tcPr>
            <w:tcW w:w="502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jc w:val="center"/>
              <w:rPr>
                <w:rFonts w:ascii="Times new roman" w:hAnsi="Times new roman"/>
                <w:sz w:val="20"/>
                <w:szCs w:val="20"/>
              </w:rPr>
            </w:pPr>
            <w:r>
              <w:rPr>
                <w:rFonts w:cs="Arial" w:ascii="Times new roman" w:hAnsi="Times new roman"/>
                <w:b/>
                <w:bCs/>
                <w:color w:val="000000"/>
                <w:sz w:val="20"/>
                <w:szCs w:val="20"/>
              </w:rPr>
              <w:t>DESCRIÇÃO/</w:t>
            </w:r>
          </w:p>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ESPECIFICAÇÃO</w:t>
            </w:r>
          </w:p>
        </w:tc>
        <w:tc>
          <w:tcPr>
            <w:tcW w:w="122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CATSER</w:t>
            </w:r>
          </w:p>
        </w:tc>
        <w:tc>
          <w:tcPr>
            <w:tcW w:w="15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UNIDADE DE MEDIDA</w:t>
            </w:r>
          </w:p>
        </w:tc>
        <w:tc>
          <w:tcPr>
            <w:tcW w:w="10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uppressAutoHyphens w:val="true"/>
              <w:jc w:val="center"/>
              <w:rPr>
                <w:rFonts w:ascii="Times new roman" w:hAnsi="Times new roman"/>
                <w:sz w:val="20"/>
                <w:szCs w:val="20"/>
              </w:rPr>
            </w:pPr>
            <w:r>
              <w:rPr>
                <w:rFonts w:cs="Arial" w:ascii="Times new roman" w:hAnsi="Times new roman"/>
                <w:b/>
                <w:bCs/>
                <w:color w:val="000000"/>
                <w:sz w:val="20"/>
                <w:szCs w:val="20"/>
              </w:rPr>
              <w:t>QUANT.</w:t>
            </w:r>
          </w:p>
        </w:tc>
      </w:tr>
      <w:tr>
        <w:trPr/>
        <w:tc>
          <w:tcPr>
            <w:tcW w:w="8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cs="Arial" w:ascii="Times new roman" w:hAnsi="Times new roman"/>
                <w:b w:val="false"/>
                <w:bCs w:val="false"/>
                <w:color w:val="000000"/>
                <w:sz w:val="12"/>
                <w:szCs w:val="12"/>
              </w:rPr>
              <w:t>1</w:t>
            </w:r>
          </w:p>
        </w:tc>
        <w:tc>
          <w:tcPr>
            <w:tcW w:w="502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false"/>
              <w:spacing w:lineRule="auto" w:line="276" w:before="0" w:after="120"/>
              <w:jc w:val="center"/>
              <w:rPr>
                <w:rFonts w:ascii="TiMES NEW ROMAN" w:hAnsi="TiMES NEW ROMAN"/>
                <w:sz w:val="16"/>
                <w:szCs w:val="16"/>
              </w:rPr>
            </w:pPr>
            <w:r>
              <w:rPr>
                <w:rFonts w:ascii="TiMES NEW ROMAN" w:hAnsi="TiMES NEW ROMAN"/>
                <w:b w:val="false"/>
                <w:i w:val="false"/>
                <w:strike w:val="false"/>
                <w:dstrike w:val="false"/>
                <w:outline w:val="false"/>
                <w:shadow w:val="false"/>
                <w:color w:val="000000"/>
                <w:sz w:val="16"/>
                <w:szCs w:val="16"/>
                <w:u w:val="none"/>
                <w:em w:val="none"/>
              </w:rPr>
              <w:t xml:space="preserve">PASSAGEM AÉREA </w:t>
            </w:r>
            <w:r>
              <w:rPr>
                <w:rFonts w:ascii="TiMES NEW ROMAN" w:hAnsi="TiMES NEW ROMAN"/>
                <w:b w:val="false"/>
                <w:i w:val="false"/>
                <w:strike w:val="false"/>
                <w:dstrike w:val="false"/>
                <w:outline w:val="false"/>
                <w:shadow w:val="false"/>
                <w:color w:val="000000"/>
                <w:sz w:val="16"/>
                <w:szCs w:val="16"/>
                <w:u w:val="none"/>
                <w:em w:val="none"/>
              </w:rPr>
              <w:t>CAXIAS DO SUL X RIO DE JANEIRO</w:t>
            </w:r>
          </w:p>
        </w:tc>
        <w:tc>
          <w:tcPr>
            <w:tcW w:w="122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i w:val="false"/>
                <w:i w:val="false"/>
                <w:strike w:val="false"/>
                <w:dstrike w:val="false"/>
                <w:outline w:val="false"/>
                <w:shadow w:val="false"/>
                <w:color w:val="000000"/>
                <w:kern w:val="0"/>
                <w:sz w:val="16"/>
                <w:szCs w:val="16"/>
                <w:u w:val="none"/>
                <w:em w:val="none"/>
                <w:lang w:val="pt-BR" w:eastAsia="pt-BR" w:bidi="ar-SA"/>
              </w:rPr>
            </w:pPr>
            <w:r>
              <w:rPr>
                <w:rFonts w:eastAsia="Times New Roman" w:cs="Arial" w:ascii="TiMES NEW ROMAN" w:hAnsi="TiMES NEW ROMAN"/>
                <w:b w:val="false"/>
                <w:bCs w:val="false"/>
                <w:i w:val="false"/>
                <w:strike w:val="false"/>
                <w:dstrike w:val="false"/>
                <w:outline w:val="false"/>
                <w:shadow w:val="false"/>
                <w:color w:val="000000"/>
                <w:kern w:val="0"/>
                <w:sz w:val="16"/>
                <w:szCs w:val="16"/>
                <w:u w:val="none"/>
                <w:em w:val="none"/>
                <w:lang w:val="pt-BR" w:eastAsia="pt-BR" w:bidi="ar-SA"/>
              </w:rPr>
              <w:t>25828</w:t>
            </w:r>
          </w:p>
        </w:tc>
        <w:tc>
          <w:tcPr>
            <w:tcW w:w="15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Un</w:t>
            </w:r>
          </w:p>
        </w:tc>
        <w:tc>
          <w:tcPr>
            <w:tcW w:w="10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01</w:t>
            </w:r>
          </w:p>
        </w:tc>
      </w:tr>
      <w:tr>
        <w:trPr/>
        <w:tc>
          <w:tcPr>
            <w:tcW w:w="8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ascii="TiMES NEW ROMAN" w:hAnsi="TiMES NEW ROMAN"/>
                <w:sz w:val="16"/>
                <w:szCs w:val="16"/>
              </w:rPr>
              <w:t>2</w:t>
            </w:r>
          </w:p>
        </w:tc>
        <w:tc>
          <w:tcPr>
            <w:tcW w:w="502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false"/>
              <w:spacing w:lineRule="auto" w:line="276" w:before="0" w:after="120"/>
              <w:jc w:val="center"/>
              <w:rPr>
                <w:rFonts w:ascii="TiMES NEW ROMAN" w:hAnsi="TiMES NEW ROMAN"/>
                <w:sz w:val="16"/>
                <w:szCs w:val="16"/>
              </w:rPr>
            </w:pPr>
            <w:r>
              <w:rPr>
                <w:rFonts w:ascii="TiMES NEW ROMAN" w:hAnsi="TiMES NEW ROMAN"/>
                <w:sz w:val="16"/>
                <w:szCs w:val="16"/>
              </w:rPr>
              <w:t xml:space="preserve">PASSAGEM AÉREA </w:t>
            </w:r>
            <w:r>
              <w:rPr>
                <w:rFonts w:eastAsia="Times New Roman" w:cs="Tahoma" w:ascii="TiMES NEW ROMAN" w:hAnsi="TiMES NEW ROMAN"/>
                <w:color w:val="00000A"/>
                <w:kern w:val="0"/>
                <w:sz w:val="16"/>
                <w:szCs w:val="16"/>
                <w:lang w:val="pt-BR" w:eastAsia="pt-BR" w:bidi="ar-SA"/>
              </w:rPr>
              <w:t>RIO DE JANEIRO X CAXIAS DO SUL</w:t>
            </w:r>
          </w:p>
        </w:tc>
        <w:tc>
          <w:tcPr>
            <w:tcW w:w="122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sz w:val="16"/>
                <w:szCs w:val="16"/>
              </w:rPr>
            </w:pPr>
            <w:r>
              <w:rPr>
                <w:rFonts w:cs="Arial" w:ascii="TiMES NEW ROMAN" w:hAnsi="TiMES NEW ROMAN"/>
                <w:b w:val="false"/>
                <w:bCs w:val="false"/>
                <w:i w:val="false"/>
                <w:strike w:val="false"/>
                <w:dstrike w:val="false"/>
                <w:outline w:val="false"/>
                <w:shadow w:val="false"/>
                <w:color w:val="000000"/>
                <w:sz w:val="16"/>
                <w:szCs w:val="16"/>
                <w:u w:val="none"/>
                <w:em w:val="none"/>
              </w:rPr>
              <w:t>25828</w:t>
            </w:r>
          </w:p>
        </w:tc>
        <w:tc>
          <w:tcPr>
            <w:tcW w:w="15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Un</w:t>
            </w:r>
          </w:p>
        </w:tc>
        <w:tc>
          <w:tcPr>
            <w:tcW w:w="10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uppressAutoHyphens w:val="true"/>
              <w:spacing w:lineRule="auto" w:line="276" w:before="0" w:after="120"/>
              <w:jc w:val="center"/>
              <w:rPr>
                <w:rFonts w:ascii="TiMES NEW ROMAN" w:hAnsi="TiMES NEW ROMAN" w:eastAsia="Times New Roman" w:cs="Arial"/>
                <w:b w:val="false"/>
                <w:b w:val="false"/>
                <w:bCs w:val="false"/>
                <w:color w:val="000000"/>
                <w:sz w:val="16"/>
                <w:szCs w:val="16"/>
                <w:lang w:val="pt-BR" w:eastAsia="pt-BR" w:bidi="ar-SA"/>
              </w:rPr>
            </w:pPr>
            <w:r>
              <w:rPr>
                <w:rFonts w:eastAsia="Times New Roman" w:cs="Arial" w:ascii="TiMES NEW ROMAN" w:hAnsi="TiMES NEW ROMAN"/>
                <w:b w:val="false"/>
                <w:bCs w:val="false"/>
                <w:color w:val="000000"/>
                <w:sz w:val="16"/>
                <w:szCs w:val="16"/>
                <w:lang w:val="pt-BR" w:eastAsia="pt-BR" w:bidi="ar-SA"/>
              </w:rPr>
              <w:t>01</w:t>
            </w:r>
          </w:p>
        </w:tc>
      </w:tr>
    </w:tbl>
    <w:p>
      <w:pPr>
        <w:pStyle w:val="PADRO"/>
        <w:keepNext w:val="true"/>
        <w:widowControl/>
        <w:numPr>
          <w:ilvl w:val="2"/>
          <w:numId w:val="1"/>
        </w:numPr>
        <w:shd w:val="clear" w:color="auto" w:fill="auto"/>
        <w:spacing w:before="120" w:after="120"/>
        <w:rPr>
          <w:rFonts w:ascii="Times new roman" w:hAnsi="Times new roman"/>
        </w:rPr>
      </w:pPr>
      <w:r>
        <w:rPr>
          <w:rFonts w:cs="Arial" w:ascii="Times new roman" w:hAnsi="Times new roman"/>
          <w:szCs w:val="20"/>
        </w:rPr>
        <w:t>Havendo mais de item ou lote faculta-se ao fornecedor a participação em quantos forem de seu interesse. Entretanto, optando-se por participar de um lote, deve o fornecedor enviar proposta para todos os itens que o compõem.</w:t>
      </w:r>
    </w:p>
    <w:p>
      <w:pPr>
        <w:pStyle w:val="PADRO"/>
        <w:keepNext w:val="true"/>
        <w:widowControl/>
        <w:numPr>
          <w:ilvl w:val="1"/>
          <w:numId w:val="1"/>
        </w:numPr>
        <w:shd w:val="clear" w:color="auto" w:fill="auto"/>
        <w:spacing w:before="120" w:after="120"/>
        <w:rPr>
          <w:rFonts w:ascii="Times new roman" w:hAnsi="Times new roman"/>
        </w:rPr>
      </w:pPr>
      <w:r>
        <w:rPr>
          <w:rFonts w:cs="Arial" w:ascii="Times new roman" w:hAnsi="Times new roman"/>
          <w:szCs w:val="20"/>
        </w:rPr>
        <w:t>O critério de julgamento adotado será o</w:t>
      </w:r>
      <w:r>
        <w:rPr>
          <w:rFonts w:cs="Arial" w:ascii="Times new roman" w:hAnsi="Times new roman"/>
          <w:i/>
          <w:iCs/>
          <w:szCs w:val="20"/>
        </w:rPr>
        <w:t xml:space="preserve"> </w:t>
      </w:r>
      <w:r>
        <w:rPr>
          <w:rFonts w:cs="Arial" w:ascii="Times new roman" w:hAnsi="Times new roman"/>
          <w:i w:val="false"/>
          <w:iCs w:val="false"/>
          <w:color w:val="00000A"/>
          <w:szCs w:val="20"/>
        </w:rPr>
        <w:t>menor preço,</w:t>
      </w:r>
      <w:r>
        <w:rPr>
          <w:rFonts w:cs="Arial" w:ascii="Times new roman" w:hAnsi="Times new roman"/>
          <w:color w:val="FF0000"/>
          <w:szCs w:val="20"/>
        </w:rPr>
        <w:t xml:space="preserve"> </w:t>
      </w:r>
      <w:r>
        <w:rPr>
          <w:rFonts w:cs="Arial" w:ascii="Times new roman" w:hAnsi="Times new roman"/>
          <w:szCs w:val="20"/>
        </w:rPr>
        <w:t>observadas as exigências contidas neste Aviso de Contratação Direta e seus Anexos quanto às especificações do objeto.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PARTICIPAÇÃO NA DISPENSA ELETRÔNICA.</w:t>
      </w:r>
    </w:p>
    <w:p>
      <w:pPr>
        <w:pStyle w:val="Normal"/>
        <w:numPr>
          <w:ilvl w:val="1"/>
          <w:numId w:val="1"/>
        </w:numPr>
        <w:snapToGrid w:val="false"/>
        <w:spacing w:lineRule="auto" w:line="276" w:before="120" w:after="120"/>
        <w:ind w:left="425" w:hanging="0"/>
        <w:jc w:val="both"/>
        <w:rPr/>
      </w:pPr>
      <w:r>
        <w:rPr>
          <w:rFonts w:cs="Arial" w:ascii="Times new roman" w:hAnsi="Times new roman"/>
          <w:szCs w:val="20"/>
          <w:shd w:fill="FFFFFF" w:val="clear"/>
        </w:rPr>
        <w:t xml:space="preserve">A participação na presente dispensa eletrônica se dará mediante </w:t>
      </w:r>
      <w:r>
        <w:rPr>
          <w:rFonts w:cs="Arial" w:ascii="Times new roman" w:hAnsi="Times new roman"/>
          <w:bCs/>
          <w:szCs w:val="20"/>
          <w:shd w:fill="FFFFFF" w:val="clear"/>
        </w:rPr>
        <w:t>Sistema de Dispensa Eletrônica</w:t>
      </w:r>
      <w:r>
        <w:rPr>
          <w:rFonts w:cs="Arial" w:ascii="Times new roman" w:hAnsi="Times new roman"/>
          <w:szCs w:val="20"/>
          <w:shd w:fill="FFFFFF" w:val="clear"/>
        </w:rPr>
        <w:t xml:space="preserve"> integrante do Sistema de Compras do Governo Federal – Comprasnet 4.0, disponível no </w:t>
      </w:r>
      <w:r>
        <w:rPr>
          <w:rFonts w:cs="Arial" w:ascii="Times new roman" w:hAnsi="Times new roman"/>
          <w:bCs/>
          <w:szCs w:val="20"/>
          <w:shd w:fill="FFFFFF" w:val="clear"/>
        </w:rPr>
        <w:t>endereço eletrônico.  (</w:t>
      </w:r>
      <w:r>
        <w:rPr>
          <w:rFonts w:cs="Arial" w:ascii="Times new roman" w:hAnsi="Times new roman"/>
          <w:color w:val="000000"/>
          <w:szCs w:val="20"/>
          <w:shd w:fill="FFFFFF" w:val="clear"/>
        </w:rPr>
        <w:t>www.comprasnet.gov.br)</w:t>
      </w:r>
    </w:p>
    <w:p>
      <w:pPr>
        <w:pStyle w:val="Normal"/>
        <w:numPr>
          <w:ilvl w:val="2"/>
          <w:numId w:val="1"/>
        </w:numPr>
        <w:snapToGrid w:val="false"/>
        <w:spacing w:lineRule="auto" w:line="276" w:before="120" w:after="120"/>
        <w:jc w:val="both"/>
        <w:rPr>
          <w:rFonts w:ascii="Times new roman" w:hAnsi="Times new roman"/>
        </w:rPr>
      </w:pPr>
      <w:r>
        <w:rPr>
          <w:rFonts w:cs="Arial" w:ascii="Times new roman" w:hAnsi="Times new roman"/>
          <w:szCs w:val="20"/>
        </w:rPr>
        <w:t>Os fornecedores deverão atender aos procedimentos previstos no Manual do Sistema de Dispensa Eletrônica, disponível no Portal de Compras do Governo Federal, para acesso ao sistema e operacionalização.</w:t>
      </w:r>
    </w:p>
    <w:p>
      <w:pPr>
        <w:pStyle w:val="Normal"/>
        <w:numPr>
          <w:ilvl w:val="2"/>
          <w:numId w:val="1"/>
        </w:numPr>
        <w:snapToGrid w:val="false"/>
        <w:spacing w:lineRule="auto" w:line="276" w:before="120" w:after="120"/>
        <w:jc w:val="both"/>
        <w:rPr>
          <w:rFonts w:ascii="Times new roman" w:hAnsi="Times new roman"/>
        </w:rPr>
      </w:pPr>
      <w:r>
        <w:rPr>
          <w:rFonts w:cs="Arial" w:ascii="Times new roman" w:hAnsi="Times new roman"/>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Não poderão participar desta dispensa os fornecedores: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não atendam às condições deste Aviso de Contratação Direta e seu(s)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estrangeiros que não tenham representação legal no Brasil com poderes expressos para receber citação e responder administrativa ou judicialmente;</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se enquadrem nas seguintes vedações:</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autor do anteprojeto, do projeto básico ou do projeto executivo, pessoa física ou jurídica, quando a contratação versar sobre obra, serviços ou fornecimento de bens a ele relacionados;</w:t>
      </w:r>
    </w:p>
    <w:p>
      <w:pPr>
        <w:pStyle w:val="Normal"/>
        <w:numPr>
          <w:ilvl w:val="3"/>
          <w:numId w:val="4"/>
        </w:numPr>
        <w:spacing w:lineRule="auto" w:line="276" w:before="120" w:after="120"/>
        <w:jc w:val="both"/>
        <w:rPr/>
      </w:pPr>
      <w:r>
        <w:rPr>
          <w:rFonts w:cs="Arial" w:ascii="Times new roman" w:hAnsi="Times new roman"/>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pessoa física ou jurídica que se encontre, ao tempo da contratação, impossibilitada de contratar em decorrência de sanção que lhe foi imposta;</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numPr>
          <w:ilvl w:val="3"/>
          <w:numId w:val="4"/>
        </w:numPr>
        <w:spacing w:lineRule="auto" w:line="276" w:before="120" w:after="120"/>
        <w:jc w:val="both"/>
        <w:rPr/>
      </w:pPr>
      <w:r>
        <w:rPr>
          <w:rFonts w:cs="Arial" w:ascii="Times new roman" w:hAnsi="Times new roman"/>
          <w:color w:val="000000"/>
          <w:szCs w:val="20"/>
        </w:rPr>
        <w:t xml:space="preserve">empresas controladoras, controladas ou coligadas, nos termos da </w:t>
      </w:r>
      <w:hyperlink r:id="rId4">
        <w:r>
          <w:rPr>
            <w:rStyle w:val="LinkdaInternet"/>
            <w:rFonts w:eastAsia="Calibri" w:cs="Arial" w:ascii="Times new roman" w:hAnsi="Times new roman"/>
            <w:szCs w:val="20"/>
          </w:rPr>
          <w:t>Lei nº 6.404, de 15 de dezembro de 1976</w:t>
        </w:r>
      </w:hyperlink>
      <w:r>
        <w:rPr>
          <w:rFonts w:cs="Arial" w:ascii="Times new roman" w:hAnsi="Times new roman"/>
          <w:color w:val="000000"/>
          <w:szCs w:val="20"/>
        </w:rPr>
        <w:t>, concorrendo entre si;</w:t>
      </w:r>
    </w:p>
    <w:p>
      <w:pPr>
        <w:pStyle w:val="Normal"/>
        <w:numPr>
          <w:ilvl w:val="3"/>
          <w:numId w:val="4"/>
        </w:numPr>
        <w:spacing w:lineRule="auto" w:line="276" w:before="120" w:after="120"/>
        <w:jc w:val="both"/>
        <w:rPr>
          <w:rFonts w:ascii="Times new roman" w:hAnsi="Times new roman"/>
        </w:rPr>
      </w:pPr>
      <w:r>
        <w:rPr>
          <w:rFonts w:cs="Arial" w:ascii="Times new roman" w:hAnsi="Times new roman"/>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Equiparam-se aos autores do projeto as empresas integrantes do mesmo grupo econômico;</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aplica-se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organizações da Sociedade Civil de Interesse Público - OSCIP, atuando nessa condição (Acórdão nº 746/2014-TCU-Plenário); e</w:t>
      </w:r>
    </w:p>
    <w:p>
      <w:pPr>
        <w:pStyle w:val="Normal"/>
        <w:numPr>
          <w:ilvl w:val="2"/>
          <w:numId w:val="1"/>
        </w:numPr>
        <w:spacing w:lineRule="auto" w:line="276" w:before="120" w:after="120"/>
        <w:jc w:val="both"/>
        <w:rPr>
          <w:rFonts w:ascii="Times new roman" w:hAnsi="Times new roman"/>
        </w:rPr>
      </w:pPr>
      <w:r>
        <w:rPr>
          <w:rFonts w:cs="Arial" w:ascii="Times new roman" w:hAnsi="Times new roman"/>
          <w:i/>
          <w:color w:val="FF0000"/>
          <w:szCs w:val="20"/>
        </w:rPr>
        <w:t xml:space="preserve"> </w:t>
      </w:r>
      <w:r>
        <w:rPr>
          <w:rFonts w:cs="Arial" w:ascii="Times new roman" w:hAnsi="Times new roman"/>
          <w:i w:val="false"/>
          <w:iCs w:val="false"/>
          <w:color w:val="00000A"/>
          <w:szCs w:val="20"/>
        </w:rPr>
        <w:t>sociedades cooperativas.</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INGRESSO NA DISPENSA ELETRÔNICA E CADASTRAMENTO DA PROPOSTA INICIAL</w:t>
      </w:r>
    </w:p>
    <w:p>
      <w:pPr>
        <w:pStyle w:val="Normal"/>
        <w:numPr>
          <w:ilvl w:val="1"/>
          <w:numId w:val="1"/>
        </w:numPr>
        <w:snapToGrid w:val="false"/>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O ingresso do fornecedor na disputa da dispensa eletrônica se dará com o cadastramento de sua proposta inicial, na forma deste item.</w:t>
      </w:r>
    </w:p>
    <w:p>
      <w:pPr>
        <w:pStyle w:val="Normal"/>
        <w:numPr>
          <w:ilvl w:val="1"/>
          <w:numId w:val="1"/>
        </w:numPr>
        <w:snapToGrid w:val="false"/>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szCs w:val="20"/>
        </w:rPr>
        <w:t>A proposta também 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Todas as especificações do </w:t>
      </w:r>
      <w:r>
        <w:rPr>
          <w:rFonts w:cs="Arial" w:ascii="Times new roman" w:hAnsi="Times new roman"/>
          <w:color w:val="000000" w:themeColor="text1"/>
          <w:szCs w:val="20"/>
        </w:rPr>
        <w:t>objeto</w:t>
      </w:r>
      <w:r>
        <w:rPr>
          <w:rFonts w:cs="Arial" w:ascii="Times new roman" w:hAnsi="Times new roman"/>
          <w:szCs w:val="20"/>
        </w:rPr>
        <w:t xml:space="preserve"> contidas na proposta, em especial o preço, vinculam a Contratada.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Nos valores propostos estarão inclusos todos os custos operacionais, encargos previdenciários, trabalhistas, tributários, comerciais e quaisquer outros que incidam direta ou indiretamente na prestação dos serviços;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szCs w:val="20"/>
        </w:rPr>
        <w:t>Os preços ofertados, tanto na proposta inicial, quanto na etapa de lances, serão de exclusiva responsabilidade do fornecedor, não lhe assistindo o direito de pleitear qualquer alteração, sob alegação de erro, omissão ou qualquer outro pretexto.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Se o regime tributário da empresa implicar o recolhimento de tributos em percentuais variáveis, a cotação adequada será a que corresponde à média dos efetivos recolhimentos da empresa nos últimos doze meses.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Independentemente do percentual de tributo inserido na planilha, no pagamento serão retidos na fonte os percentuais estabelecidos na legislação vigente.</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A apresentação das propostas implica obrigatoriedade do cumprimento das disposições nelas contidas,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szCs w:val="20"/>
        </w:rPr>
        <w:t xml:space="preserve">Uma vez enviada a proposta no sistema, os fornecedores </w:t>
      </w:r>
      <w:r>
        <w:rPr>
          <w:rFonts w:cs="Arial" w:ascii="Times new roman" w:hAnsi="Times new roman"/>
          <w:b/>
          <w:bCs/>
          <w:szCs w:val="20"/>
        </w:rPr>
        <w:t>NÃO</w:t>
      </w:r>
      <w:r>
        <w:rPr>
          <w:rFonts w:cs="Arial" w:ascii="Times new roman" w:hAnsi="Times new roman"/>
          <w:szCs w:val="20"/>
        </w:rPr>
        <w:t xml:space="preserve"> poderão retirá-la, substituí-la ou modificá-la</w:t>
      </w:r>
      <w:r>
        <w:rPr>
          <w:rFonts w:cs="Arial" w:ascii="Times new roman" w:hAnsi="Times new roman"/>
          <w:color w:val="000000"/>
          <w:szCs w:val="20"/>
        </w:rPr>
        <w:t>;</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 xml:space="preserve">No cadastramento da proposta inicial, o fornecedor deverá, também, assinalar “sim” ou “não” em campo </w:t>
      </w:r>
      <w:r>
        <w:rPr>
          <w:rFonts w:cs="Arial" w:ascii="Times new roman" w:hAnsi="Times new roman"/>
          <w:szCs w:val="20"/>
        </w:rPr>
        <w:t>próprio</w:t>
      </w:r>
      <w:r>
        <w:rPr>
          <w:rFonts w:cs="Arial" w:ascii="Times new roman" w:hAnsi="Times new roman"/>
          <w:color w:val="000000"/>
          <w:szCs w:val="20"/>
        </w:rPr>
        <w:t xml:space="preserve"> do sistema eletrônico, às seguintes declarações:</w:t>
      </w:r>
      <w:r>
        <w:rPr>
          <w:rFonts w:eastAsia="Zurich BT" w:cs="Arial" w:ascii="Times new roman" w:hAnsi="Times new roman"/>
          <w:color w:val="000000"/>
          <w:szCs w:val="20"/>
        </w:rPr>
        <w:t xml:space="preserve"> </w:t>
      </w:r>
    </w:p>
    <w:p>
      <w:pPr>
        <w:pStyle w:val="ListParagraph"/>
        <w:numPr>
          <w:ilvl w:val="0"/>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ListParagraph"/>
        <w:numPr>
          <w:ilvl w:val="1"/>
          <w:numId w:val="2"/>
        </w:numPr>
        <w:tabs>
          <w:tab w:val="clear" w:pos="408"/>
          <w:tab w:val="left" w:pos="1440" w:leader="none"/>
        </w:tabs>
        <w:snapToGrid w:val="false"/>
        <w:spacing w:lineRule="auto" w:line="276" w:before="120" w:after="120"/>
        <w:contextualSpacing/>
        <w:jc w:val="both"/>
        <w:rPr>
          <w:rFonts w:ascii="Times new roman" w:hAnsi="Times new roman" w:cs="Arial"/>
          <w:bCs/>
          <w:vanish/>
          <w:color w:val="000000"/>
          <w:szCs w:val="20"/>
        </w:rPr>
      </w:pPr>
      <w:r>
        <w:rPr>
          <w:rFonts w:cs="Arial" w:ascii="Times new roman" w:hAnsi="Times new roman"/>
          <w:bCs/>
          <w:vanish/>
          <w:color w:val="000000"/>
          <w:szCs w:val="20"/>
        </w:rPr>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inexistem fatos impeditivos para sua habilitação no certame, ciente da obrigatoriedade de declarar ocorrências posteriores;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 xml:space="preserve">que </w:t>
      </w:r>
      <w:r>
        <w:rPr>
          <w:rFonts w:cs="Arial" w:ascii="Times new roman" w:hAnsi="Times new roman"/>
          <w:color w:val="000000"/>
          <w:szCs w:val="20"/>
        </w:rPr>
        <w:t>cumpre</w:t>
      </w:r>
      <w:r>
        <w:rPr>
          <w:rFonts w:cs="Arial" w:ascii="Times new roman" w:hAnsi="Times new roman"/>
          <w:color w:val="000000" w:themeColor="text1"/>
          <w:szCs w:val="20"/>
        </w:rPr>
        <w:t xml:space="preserve"> os requisitos estabelecidos no artigo 3° da Lei Complementar nº 123, de 2006, estando apto a usufruir do tratamento favorecido estabelecido em seus arts. 42 a 49.</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está ciente e concorda com as condições contidas no Aviso de Contratação Direta e seus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assume a responsabilidade pelas transações que forem efetuadas no sistema, assumindo como firmes e verdadeiras;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cumpre as exigências de reserva de cargos para pessoa com deficiência e para reabilitado da Previdência Social, de que trata o art. 93 da Lei nº 8.213/91.</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themeColor="text1"/>
          <w:szCs w:val="20"/>
        </w:rPr>
        <w:t>que não emprega menor de 18 anos em trabalho noturno, perigoso ou insalubre e não emprega menor de 16 anos, salvo menor, a partir de 14 anos, na condição de aprendiz, nos termos do artigo 7°, XXXIII, da Constituição.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FASE DE LANCES</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A partir das 8:00h da data estabelecida neste Aviso de Contratação Direta, a sessão pública será automaticamente aberta pelo sistema para o envio de lances públicos e sucessivos, </w:t>
      </w:r>
      <w:r>
        <w:rPr>
          <w:rFonts w:cs="Arial" w:ascii="Times new roman" w:hAnsi="Times new roman"/>
          <w:bCs/>
          <w:szCs w:val="20"/>
          <w:lang w:eastAsia="en-US"/>
        </w:rPr>
        <w:t>exclusivamente por meio do sistema eletrônico</w:t>
      </w:r>
      <w:r>
        <w:rPr>
          <w:rFonts w:cs="Arial" w:ascii="Times new roman" w:hAnsi="Times new roman"/>
          <w:szCs w:val="20"/>
          <w:lang w:eastAsia="en-US"/>
        </w:rPr>
        <w:t xml:space="preserve">, </w:t>
      </w:r>
      <w:r>
        <w:rPr>
          <w:rFonts w:cs="Arial" w:ascii="Times new roman" w:hAnsi="Times new roman"/>
          <w:color w:val="000000" w:themeColor="text1"/>
          <w:szCs w:val="20"/>
          <w:lang w:eastAsia="en-US"/>
        </w:rPr>
        <w:t>sendo encerrado no horário de finalização de lances também já previsto neste aviso.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i w:val="false"/>
          <w:iCs w:val="false"/>
          <w:color w:val="00000A"/>
          <w:szCs w:val="20"/>
        </w:rPr>
        <w:t xml:space="preserve">O lance deverá ser ofertado pelo valor unitário do item. </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fornecedor somente poderá oferecer valor inferior ou maior percentual de desconto em relação ao último lance por ele ofertado e registrado pelo sistema.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pPr>
        <w:pStyle w:val="ListParagraph"/>
        <w:numPr>
          <w:ilvl w:val="2"/>
          <w:numId w:val="1"/>
        </w:numPr>
        <w:spacing w:lineRule="auto" w:line="276" w:before="120" w:after="120"/>
        <w:contextualSpacing/>
        <w:jc w:val="both"/>
        <w:rPr/>
      </w:pPr>
      <w:r>
        <w:rPr>
          <w:rFonts w:cs="Arial" w:ascii="Times new roman" w:hAnsi="Times new roman"/>
          <w:i w:val="false"/>
          <w:iCs w:val="false"/>
          <w:color w:val="00000A"/>
          <w:szCs w:val="20"/>
        </w:rPr>
        <w:t>O intervalo mínimo de diferença de valores ou percentuais entre os lances, que incidirá tanto em relação aos lances intermediários quanto em relação ao que cobrir a melhor oferta é de R$ 0,10 ( DEZ CENTAVOS ) para todo os itens.</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Havendo lances iguais ao menor já ofertado, prevalecerá aquele que for recebido e registrado primeiro no sistema.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Caso o fornecedor não apresente lances, concorrerá com o valor de sua proposta.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Durante o procedimento, os fornecedores serão informados, em tempo real, do valor do menor lance registrado, vedada a identificação do fornecedor.</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JULGAMENTO DAS PROPOSTAS DE PREÇO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Encerrada a fase de lances, será verificada a conformidade da proposta classificada em primeiro lugar quanto à adequação do objeto e à compatibilidade do preço em relação ao estipulado para a contratação.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No caso de o preço da proposta vencedora estar acima do estimado pela Administração, poderá haver a negociação de condições mais vantajosas.</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Neste caso, será encaminhada contraproposta ao fornecedor que tenha apresentado o melhor preço, para que seja obtida melhor proposta com preço compatível ao estimado pela Administração.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rPr>
        <w:t>Em qualquer caso, concluída a negociação, o resultado será registrado na ata do procedimento da dispensa eletrônica.</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rPr>
        <w:t>Estando o preço compatível, será solicitado o envio da proposta e, se necessário, de documentos complementares, adequada ao último lance.</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Será desclassificada a proposta vencedora que: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contiver vícios insanáveis</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não obedecer às especificações técnicas pormenorizadas neste aviso ou em seus anexos</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apresentar preços inexequíveis ou permanecerem acima do preço máximo definido para a contratação;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não tiverem sua exequibilidade demonstrada, quando exigido pela Administração</w:t>
      </w:r>
      <w:r>
        <w:rPr>
          <w:rFonts w:cs="Arial" w:ascii="Times new roman" w:hAnsi="Times new roman"/>
          <w:iCs/>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apresentar desconformidade com quaisquer outras exigências deste aviso ou seus anexos, desde que insanável.</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Quando</w:t>
      </w:r>
      <w:r>
        <w:rPr>
          <w:rFonts w:cs="Arial" w:ascii="Times new roman" w:hAnsi="Times new roman"/>
          <w:szCs w:val="20"/>
        </w:rPr>
        <w:t xml:space="preserve"> o fornecedor não conseguir comprovar que possui ou possuirá recursos suficientes para executar a contento o objeto, será considerada inexequível a proposta de preços ou menor lance que:</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rPr>
        <w:t>apresentar um ou mais valores da planilha de custo que sejam inferiores àqueles fixados em instrumentos de caráter normativo obrigatório, tais como leis, medidas provisórias e convenções coletivas de trabalho vigentes.</w:t>
      </w:r>
    </w:p>
    <w:p>
      <w:pPr>
        <w:pStyle w:val="ListParagraph"/>
        <w:numPr>
          <w:ilvl w:val="1"/>
          <w:numId w:val="1"/>
        </w:numPr>
        <w:spacing w:lineRule="auto" w:line="276" w:before="120" w:after="120"/>
        <w:ind w:left="792" w:right="-15" w:hanging="432"/>
        <w:contextualSpacing/>
        <w:jc w:val="both"/>
        <w:rPr>
          <w:rFonts w:ascii="Times new roman" w:hAnsi="Times new roman"/>
        </w:rPr>
      </w:pPr>
      <w:r>
        <w:rPr>
          <w:rFonts w:cs="Arial" w:ascii="Times new roman" w:hAnsi="Times new roman"/>
          <w:color w:val="000000" w:themeColor="text1"/>
          <w:szCs w:val="20"/>
          <w:lang w:eastAsia="en-US"/>
        </w:rPr>
        <w:t xml:space="preserve">Se houver indícios de inexequibilidade da proposta de preço, ou em caso da necessidade de esclarecimentos </w:t>
      </w:r>
      <w:r>
        <w:rPr>
          <w:rFonts w:cs="Arial" w:ascii="Times new roman" w:hAnsi="Times new roman"/>
          <w:szCs w:val="20"/>
        </w:rPr>
        <w:t>complementares</w:t>
      </w:r>
      <w:r>
        <w:rPr>
          <w:rFonts w:cs="Arial" w:ascii="Times new roman" w:hAnsi="Times new roman"/>
          <w:color w:val="000000" w:themeColor="text1"/>
          <w:szCs w:val="20"/>
          <w:lang w:eastAsia="en-US"/>
        </w:rPr>
        <w:t xml:space="preserve">, poderão ser efetuadas diligências, para que a empresa comprove a exequibilidade da proposta.  </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 xml:space="preserve">Erros no preenchimento da planilha não constituem motivo para a desclassificação da proposta. A planilha </w:t>
      </w:r>
      <w:r>
        <w:rPr>
          <w:rFonts w:cs="Arial" w:ascii="Times new roman" w:hAnsi="Times new roman"/>
          <w:szCs w:val="20"/>
        </w:rPr>
        <w:t>poderá</w:t>
      </w:r>
      <w:r>
        <w:rPr>
          <w:rFonts w:cs="Arial" w:ascii="Times new roman" w:hAnsi="Times new roman"/>
          <w:color w:val="000000" w:themeColor="text1"/>
          <w:szCs w:val="20"/>
          <w:lang w:eastAsia="en-US"/>
        </w:rPr>
        <w:t xml:space="preserve"> ser ajustada pelo fornecedor, no prazo indicado pelo sistema, desde que não haja majoração do preço.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O ajuste de que trata este dispositivo se limita a sanar erros ou falhas que não alterem a substância das propostas;</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Considera-se erro no preenchimento da planilha passível de correção a indicação de recolhimento de impostos e contribuições na forma do Simples Nacional, quando não cabível esse regime.</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Se a proposta ou lance vencedor for desclassificado, será examinada a proposta ou lance subsequente, e, assim sucessivamente, na ordem de classificação.</w:t>
      </w:r>
    </w:p>
    <w:p>
      <w:pPr>
        <w:pStyle w:val="ListParagraph"/>
        <w:numPr>
          <w:ilvl w:val="1"/>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lang w:eastAsia="en-US"/>
        </w:rPr>
        <w:t>Havendo necessidade, a sessão será suspensa, informando-se no “chat” a nova data e horário para a sua continuidade.</w:t>
      </w:r>
    </w:p>
    <w:p>
      <w:pPr>
        <w:pStyle w:val="ListParagraph"/>
        <w:numPr>
          <w:ilvl w:val="1"/>
          <w:numId w:val="1"/>
        </w:numPr>
        <w:spacing w:lineRule="auto" w:line="276" w:before="120" w:after="120"/>
        <w:contextualSpacing/>
        <w:jc w:val="both"/>
        <w:rPr/>
      </w:pPr>
      <w:r>
        <w:rPr>
          <w:rFonts w:cs="Arial" w:ascii="Times new roman" w:hAnsi="Times new roman"/>
          <w:color w:val="000000" w:themeColor="text1"/>
          <w:szCs w:val="20"/>
          <w:lang w:eastAsia="en-US"/>
        </w:rPr>
        <w:t>Encerrada a análise quanto à aceitação da proposta, se iniciará a fase de habilitação, observado o disposto neste Aviso de Contratação Direta.</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HABILITAÇÃO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szCs w:val="20"/>
          <w:lang w:eastAsia="ar-SA"/>
        </w:rPr>
        <w:t xml:space="preserve">Os </w:t>
      </w:r>
      <w:r>
        <w:rPr>
          <w:rFonts w:cs="Arial" w:ascii="Times new roman" w:hAnsi="Times new roman"/>
          <w:color w:val="000000"/>
          <w:szCs w:val="20"/>
        </w:rPr>
        <w:t>documentos</w:t>
      </w:r>
      <w:r>
        <w:rPr>
          <w:rFonts w:cs="Arial" w:ascii="Times new roman" w:hAnsi="Times new roman"/>
          <w:szCs w:val="20"/>
          <w:lang w:eastAsia="ar-SA"/>
        </w:rPr>
        <w:t xml:space="preserve"> a serem exigidos para fins de habilitação constam do </w:t>
      </w:r>
      <w:r>
        <w:rPr>
          <w:rFonts w:cs="Arial" w:ascii="Times new roman" w:hAnsi="Times new roman"/>
          <w:b/>
          <w:szCs w:val="20"/>
          <w:lang w:eastAsia="ar-SA"/>
        </w:rPr>
        <w:t xml:space="preserve">ANEXO I – DOCUMENTAÇÃO EXIGIDA PARA HABILITAÇÃO </w:t>
      </w:r>
      <w:r>
        <w:rPr>
          <w:rFonts w:cs="Arial" w:ascii="Times new roman" w:hAnsi="Times new roman"/>
          <w:szCs w:val="20"/>
          <w:lang w:eastAsia="ar-SA"/>
        </w:rPr>
        <w:t>deste aviso e serão solicitados do fornecedor mais bem classificado da fase de lances.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szCs w:val="20"/>
          <w:lang w:eastAsia="ar-SA"/>
        </w:rPr>
        <w:t xml:space="preserve">Como </w:t>
      </w:r>
      <w:r>
        <w:rPr>
          <w:rFonts w:cs="Arial" w:ascii="Times new roman" w:hAnsi="Times new roman"/>
          <w:color w:val="000000"/>
          <w:szCs w:val="20"/>
        </w:rPr>
        <w:t>condição</w:t>
      </w:r>
      <w:r>
        <w:rPr>
          <w:rFonts w:cs="Arial" w:ascii="Times new roman" w:hAnsi="Times new roman"/>
          <w:szCs w:val="20"/>
          <w:lang w:eastAsia="ar-SA"/>
        </w:rPr>
        <w:t xml:space="preserve"> prévia ao exame da documentação de habilitação do fornecedor detentor da proposta classificada em primeiro lugar, será verificado o eventual descumprimento das condições de participação, especialmente quanto à existência de sanção que impeça a participação no certame ou a futura contratação, mediante a consulta aos seguintes cadastros:  </w:t>
      </w:r>
    </w:p>
    <w:p>
      <w:pPr>
        <w:pStyle w:val="ListParagraph"/>
        <w:spacing w:lineRule="auto" w:line="276" w:before="120" w:after="120"/>
        <w:ind w:left="1134" w:hanging="0"/>
        <w:contextualSpacing/>
        <w:jc w:val="both"/>
        <w:rPr>
          <w:rFonts w:ascii="Times new roman" w:hAnsi="Times new roman"/>
        </w:rPr>
      </w:pPr>
      <w:r>
        <w:rPr>
          <w:rFonts w:cs="Arial" w:ascii="Times new roman" w:hAnsi="Times new roman"/>
          <w:szCs w:val="20"/>
          <w:lang w:eastAsia="ar-SA"/>
        </w:rPr>
        <w:t xml:space="preserve">a) SICAF;  </w:t>
      </w:r>
    </w:p>
    <w:p>
      <w:pPr>
        <w:pStyle w:val="ListParagraph"/>
        <w:spacing w:lineRule="auto" w:line="276" w:before="120" w:after="120"/>
        <w:ind w:left="1134" w:hanging="0"/>
        <w:contextualSpacing/>
        <w:jc w:val="both"/>
        <w:rPr/>
      </w:pPr>
      <w:r>
        <w:rPr>
          <w:rFonts w:cs="Arial" w:ascii="Times new roman" w:hAnsi="Times new roman"/>
          <w:szCs w:val="20"/>
          <w:lang w:eastAsia="ar-SA"/>
        </w:rPr>
        <w:t>b) Cadastro Nacional de Empresas Inidôneas e Suspensas - CEIS, mantido pela Controladoria-Geral da União (</w:t>
      </w:r>
      <w:hyperlink r:id="rId5">
        <w:r>
          <w:rPr>
            <w:rStyle w:val="LinkdaInternet"/>
            <w:rFonts w:eastAsia="Calibri" w:cs="Arial" w:ascii="Times new roman" w:hAnsi="Times new roman"/>
            <w:lang w:eastAsia="ar-SA"/>
          </w:rPr>
          <w:t>www.portaldatransparencia.gov.br/ceis</w:t>
        </w:r>
      </w:hyperlink>
      <w:r>
        <w:rPr>
          <w:rFonts w:cs="Arial" w:ascii="Times new roman" w:hAnsi="Times new roman"/>
          <w:szCs w:val="20"/>
          <w:lang w:eastAsia="ar-SA"/>
        </w:rPr>
        <w:t xml:space="preserve">);  </w:t>
      </w:r>
    </w:p>
    <w:p>
      <w:pPr>
        <w:pStyle w:val="ListParagraph"/>
        <w:spacing w:lineRule="auto" w:line="276" w:before="120" w:after="120"/>
        <w:ind w:left="1134" w:hanging="0"/>
        <w:contextualSpacing/>
        <w:jc w:val="both"/>
        <w:rPr/>
      </w:pPr>
      <w:r>
        <w:rPr>
          <w:rFonts w:cs="Arial" w:ascii="Times new roman" w:hAnsi="Times new roman"/>
          <w:szCs w:val="20"/>
          <w:lang w:eastAsia="ar-SA"/>
        </w:rPr>
        <w:t>c) Cadastro Nacional de Condenações Cíveis por Atos de Improbidade Administrativa, mantido pelo Conselho Nacional de Justiça (</w:t>
      </w:r>
      <w:hyperlink r:id="rId6">
        <w:r>
          <w:rPr>
            <w:rStyle w:val="LinkdaInternet"/>
            <w:rFonts w:eastAsia="Calibri" w:cs="Arial" w:ascii="Times new roman" w:hAnsi="Times new roman"/>
            <w:lang w:eastAsia="ar-SA"/>
          </w:rPr>
          <w:t>www.cnj.jus.br/improbidade_adm/consultar_requerido.php</w:t>
        </w:r>
      </w:hyperlink>
      <w:r>
        <w:rPr>
          <w:rFonts w:cs="Arial" w:ascii="Times new roman" w:hAnsi="Times new roman"/>
          <w:szCs w:val="20"/>
          <w:lang w:eastAsia="ar-SA"/>
        </w:rPr>
        <w:t xml:space="preserve">).  </w:t>
      </w:r>
    </w:p>
    <w:p>
      <w:pPr>
        <w:pStyle w:val="ListParagraph"/>
        <w:spacing w:lineRule="auto" w:line="276" w:before="120" w:after="120"/>
        <w:ind w:left="1134" w:hanging="0"/>
        <w:contextualSpacing/>
        <w:jc w:val="both"/>
        <w:rPr>
          <w:rFonts w:ascii="Times new roman" w:hAnsi="Times new roman"/>
        </w:rPr>
      </w:pPr>
      <w:r>
        <w:rPr>
          <w:rFonts w:cs="Arial" w:ascii="Times new roman" w:hAnsi="Times new roman"/>
          <w:szCs w:val="20"/>
          <w:lang w:eastAsia="ar-SA"/>
        </w:rPr>
        <w:t xml:space="preserve">d) Lista de Inidôneos mantida pelo Tribunal de Contas da União - TCU; </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szCs w:val="20"/>
          <w:lang w:eastAsia="ar-SA"/>
        </w:rPr>
        <w:t xml:space="preserve">Para a consulta de </w:t>
      </w:r>
      <w:r>
        <w:rPr>
          <w:rFonts w:cs="Arial" w:ascii="Times new roman" w:hAnsi="Times new roman"/>
          <w:color w:val="000000" w:themeColor="text1"/>
          <w:szCs w:val="20"/>
        </w:rPr>
        <w:t>fornecedores</w:t>
      </w:r>
      <w:r>
        <w:rPr>
          <w:rFonts w:cs="Arial" w:ascii="Times new roman" w:hAnsi="Times new roman"/>
          <w:szCs w:val="20"/>
          <w:lang w:eastAsia="ar-SA"/>
        </w:rPr>
        <w:t xml:space="preserve"> pessoa jurídica poderá haver a substituição das consultas das alíneas “b”, “c” e “d” acima pela Consulta Consolidada de Pessoa Jurídica do TCU (https://certidoesapf.apps.tcu.gov.br/)</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 xml:space="preserve">A consulta aos </w:t>
      </w:r>
      <w:r>
        <w:rPr>
          <w:rFonts w:cs="Arial" w:ascii="Times new roman" w:hAnsi="Times new roman"/>
          <w:szCs w:val="20"/>
          <w:lang w:eastAsia="ar-SA"/>
        </w:rPr>
        <w:t>cadastros</w:t>
      </w:r>
      <w:r>
        <w:rPr>
          <w:rFonts w:cs="Arial" w:ascii="Times new roman" w:hAnsi="Times new roman"/>
          <w:color w:val="000000" w:themeColor="text1"/>
          <w:szCs w:val="20"/>
        </w:rPr>
        <w:t xml:space="preserve"> será realizada em nome da empresa fornecedora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numPr>
          <w:ilvl w:val="3"/>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numPr>
          <w:ilvl w:val="4"/>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A tentativa de burla será verificada por meio dos vínculos societários, linhas de fornecimento similares, dentre outros.</w:t>
      </w:r>
    </w:p>
    <w:p>
      <w:pPr>
        <w:pStyle w:val="ListParagraph"/>
        <w:numPr>
          <w:ilvl w:val="4"/>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O fornecedor será convocado para manifestação previamente à sua desclassificação</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Constatada a existência de sanção, o fornecedor será reputado inabilitado, por falta de condição de participação.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 xml:space="preserve">Caso atendidas as condições de participação, </w:t>
      </w:r>
      <w:r>
        <w:rPr>
          <w:rFonts w:cs="Arial" w:ascii="Times new roman" w:hAnsi="Times new roman"/>
          <w:szCs w:val="20"/>
        </w:rPr>
        <w:t>a habilitação dos fornecedores será verificada por meio do SICAF, nos documentos por ele abrangidos</w:t>
      </w:r>
      <w:r>
        <w:rPr>
          <w:rFonts w:cs="Arial" w:ascii="Times new roman" w:hAnsi="Times new roman"/>
          <w:color w:val="000000" w:themeColor="text1"/>
          <w:szCs w:val="20"/>
        </w:rPr>
        <w:t>.</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themeColor="text1"/>
          <w:szCs w:val="20"/>
        </w:rPr>
        <w:t>O descumprimento do subitem acima implicará a inabilitação do fornecedor, exceto se a consulta aos sítios eletrônicos oficiais emissores de certidões lograr êxito em encontrar a(s) certidão(ões) válida(s).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Havendo a necessidade de envio de documentos de habilitação complementares, necessários à confirmação daqueles exigidos neste Aviso de Contratação Direta e já apresentados, o fornecedor será convocado a encaminhá-los, em formato digital, após solicitação da Administração, sob pena de inabilitação.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themeColor="text1"/>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bCs/>
          <w:szCs w:val="20"/>
        </w:rPr>
        <w:t>O fornecedor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numPr>
          <w:ilvl w:val="1"/>
          <w:numId w:val="1"/>
        </w:numPr>
        <w:spacing w:lineRule="auto" w:line="276" w:before="120" w:after="120"/>
        <w:ind w:left="792" w:hanging="574"/>
        <w:contextualSpacing/>
        <w:jc w:val="both"/>
        <w:rPr>
          <w:rFonts w:ascii="Times new roman" w:hAnsi="Times new roman"/>
          <w:i w:val="false"/>
          <w:i w:val="false"/>
          <w:iCs w:val="false"/>
          <w:color w:val="00000A"/>
        </w:rPr>
      </w:pPr>
      <w:r>
        <w:rPr>
          <w:rFonts w:cs="Arial" w:ascii="Times new roman" w:hAnsi="Times new roman"/>
          <w:i w:val="false"/>
          <w:iCs w:val="false"/>
          <w:color w:val="00000A"/>
          <w:szCs w:val="20"/>
        </w:rPr>
        <w:t>O fornecedor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pPr>
        <w:pStyle w:val="ListParagraph"/>
        <w:numPr>
          <w:ilvl w:val="2"/>
          <w:numId w:val="1"/>
        </w:numPr>
        <w:spacing w:lineRule="auto" w:line="276" w:before="120" w:after="120"/>
        <w:contextualSpacing/>
        <w:jc w:val="both"/>
        <w:rPr>
          <w:rFonts w:ascii="Times new roman" w:hAnsi="Times new roman"/>
          <w:i w:val="false"/>
          <w:i w:val="false"/>
          <w:iCs w:val="false"/>
          <w:color w:val="00000A"/>
        </w:rPr>
      </w:pPr>
      <w:r>
        <w:rPr>
          <w:rFonts w:cs="Arial" w:ascii="Times new roman" w:hAnsi="Times new roman"/>
          <w:i w:val="false"/>
          <w:iCs w:val="false"/>
          <w:color w:val="00000A"/>
          <w:szCs w:val="20"/>
        </w:rPr>
        <w:t>Não havendo a comprovação cumulativa dos requisitos de habilitação, a inabilitação recairá sobre o(s) item(ns) de menor(es) valor(es) cuja retirada(s) seja(m) suficiente(s) para a habilitação do fornecedor nos remanescentes.</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bCs/>
          <w:szCs w:val="20"/>
        </w:rPr>
        <w:t xml:space="preserve">Havendo </w:t>
      </w:r>
      <w:r>
        <w:rPr>
          <w:rFonts w:cs="Arial" w:ascii="Times new roman" w:hAnsi="Times new roman"/>
          <w:iCs/>
          <w:lang w:eastAsia="en-US"/>
        </w:rPr>
        <w:t>necessidade</w:t>
      </w:r>
      <w:r>
        <w:rPr>
          <w:rFonts w:cs="Arial" w:ascii="Times new roman" w:hAnsi="Times new roman"/>
          <w:bCs/>
          <w:szCs w:val="20"/>
        </w:rPr>
        <w:t xml:space="preserve"> de analisar minuciosamente os documentos exigidos, a sessão será suspensa, sendo informada a nova data e horário para a sua continuidade.</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color w:val="000000"/>
          <w:szCs w:val="20"/>
        </w:rPr>
        <w:t xml:space="preserve">Será inabilitado o fornecedor que não comprovar sua habilitação, seja por não apresentar </w:t>
      </w:r>
      <w:r>
        <w:rPr>
          <w:rFonts w:cs="Arial" w:ascii="Times new roman" w:hAnsi="Times new roman"/>
          <w:iCs/>
          <w:lang w:eastAsia="en-US"/>
        </w:rPr>
        <w:t>quaisquer</w:t>
      </w:r>
      <w:r>
        <w:rPr>
          <w:rFonts w:cs="Arial" w:ascii="Times new roman" w:hAnsi="Times new roman"/>
          <w:color w:val="000000"/>
          <w:szCs w:val="20"/>
        </w:rPr>
        <w:t xml:space="preserve"> dos </w:t>
      </w:r>
      <w:r>
        <w:rPr>
          <w:rFonts w:cs="Arial" w:ascii="Times new roman" w:hAnsi="Times new roman"/>
          <w:bCs/>
          <w:szCs w:val="20"/>
        </w:rPr>
        <w:t>documentos</w:t>
      </w:r>
      <w:r>
        <w:rPr>
          <w:rFonts w:cs="Arial" w:ascii="Times new roman" w:hAnsi="Times new roman"/>
          <w:color w:val="000000"/>
          <w:szCs w:val="20"/>
        </w:rPr>
        <w:t xml:space="preserve"> exigidos, ou apresentá-los em desacordo com o estabelecido neste Aviso de Contratação Direta.</w:t>
      </w:r>
    </w:p>
    <w:p>
      <w:pPr>
        <w:pStyle w:val="ListParagraph"/>
        <w:numPr>
          <w:ilvl w:val="2"/>
          <w:numId w:val="1"/>
        </w:numPr>
        <w:spacing w:lineRule="auto" w:line="276" w:before="120" w:after="120"/>
        <w:contextualSpacing/>
        <w:jc w:val="both"/>
        <w:rPr>
          <w:rFonts w:ascii="Times new roman" w:hAnsi="Times new roman"/>
        </w:rPr>
      </w:pPr>
      <w:r>
        <w:rPr>
          <w:rFonts w:cs="Arial" w:ascii="Times new roman" w:hAnsi="Times new roman"/>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pPr>
        <w:pStyle w:val="ListParagraph"/>
        <w:numPr>
          <w:ilvl w:val="1"/>
          <w:numId w:val="1"/>
        </w:numPr>
        <w:spacing w:lineRule="auto" w:line="276" w:before="120" w:after="120"/>
        <w:ind w:left="792" w:hanging="574"/>
        <w:contextualSpacing/>
        <w:jc w:val="both"/>
        <w:rPr>
          <w:rFonts w:ascii="Times new roman" w:hAnsi="Times new roman"/>
        </w:rPr>
      </w:pPr>
      <w:r>
        <w:rPr>
          <w:rFonts w:cs="Arial" w:ascii="Times new roman" w:hAnsi="Times new roman"/>
          <w:iCs/>
          <w:lang w:eastAsia="en-US"/>
        </w:rPr>
        <w:t>Constatado o atendimento às exigências de habilitação, o fornecedor será habilitado</w:t>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CONTRATAÇÃO</w:t>
      </w:r>
    </w:p>
    <w:p>
      <w:pPr>
        <w:pStyle w:val="Normal"/>
        <w:numPr>
          <w:ilvl w:val="1"/>
          <w:numId w:val="1"/>
        </w:numPr>
        <w:spacing w:lineRule="auto" w:line="276" w:before="120" w:after="120"/>
        <w:ind w:left="425" w:hanging="0"/>
        <w:jc w:val="both"/>
        <w:rPr>
          <w:rFonts w:ascii="Times new roman" w:hAnsi="Times new roman"/>
        </w:rPr>
      </w:pPr>
      <w:r>
        <w:rPr>
          <w:rFonts w:eastAsia="Arial" w:cs="Arial" w:ascii="Times new roman" w:hAnsi="Times new roman"/>
          <w:color w:val="000000"/>
          <w:szCs w:val="20"/>
        </w:rPr>
        <w:t>Após a homologação e adjudicação, caso se conclua pela contratação, será firmado Termo de Contrato ou emitido instrumento equivalente.</w:t>
      </w:r>
    </w:p>
    <w:p>
      <w:pPr>
        <w:pStyle w:val="Normal"/>
        <w:numPr>
          <w:ilvl w:val="1"/>
          <w:numId w:val="1"/>
        </w:numPr>
        <w:spacing w:lineRule="auto" w:line="276" w:before="120" w:after="120"/>
        <w:ind w:left="425" w:hanging="0"/>
        <w:jc w:val="both"/>
        <w:rPr>
          <w:rFonts w:ascii="Times new roman" w:hAnsi="Times new roman"/>
          <w:color w:val="00000A"/>
        </w:rPr>
      </w:pPr>
      <w:r>
        <w:rPr>
          <w:rFonts w:eastAsia="Arial" w:cs="Arial" w:ascii="Times new roman" w:hAnsi="Times new roman"/>
          <w:color w:val="00000A"/>
          <w:szCs w:val="20"/>
        </w:rPr>
        <w:t xml:space="preserve">O adjudicatário terá o prazo de 10 (dez) dias úteis, contados a partir da data de sua convocação, para assinar o Termo de Contrato ou aceitar instrumento equivalente, conforme o caso , sob pena de decair do direito à contratação, sem prejuízo das sanções previstas neste Aviso de Contratação Direta. </w:t>
      </w:r>
    </w:p>
    <w:p>
      <w:pPr>
        <w:pStyle w:val="Normal"/>
        <w:numPr>
          <w:ilvl w:val="2"/>
          <w:numId w:val="1"/>
        </w:numPr>
        <w:spacing w:lineRule="auto" w:line="276" w:before="120" w:after="120"/>
        <w:jc w:val="both"/>
        <w:rPr>
          <w:rFonts w:ascii="Times new roman" w:hAnsi="Times new roman"/>
        </w:rPr>
      </w:pPr>
      <w:r>
        <w:rPr>
          <w:rFonts w:eastAsia="Arial" w:cs="Arial" w:ascii="Times new roman" w:hAnsi="Times new roman"/>
          <w:color w:val="000000"/>
          <w:szCs w:val="20"/>
        </w:rPr>
        <w:t xml:space="preserve">O prazo previsto para assinatura do contrato ou aceitação da nota de empenho ou instrumento equivalente poderá ser prorrogado </w:t>
      </w:r>
      <w:r>
        <w:rPr>
          <w:rFonts w:cs="Times New Roman" w:ascii="Times new roman" w:hAnsi="Times new roman"/>
          <w:bCs/>
        </w:rPr>
        <w:t>1 (uma) vez</w:t>
      </w:r>
      <w:r>
        <w:rPr>
          <w:rFonts w:eastAsia="Arial" w:cs="Arial" w:ascii="Times new roman" w:hAnsi="Times new roman"/>
          <w:szCs w:val="20"/>
        </w:rPr>
        <w:t xml:space="preserve">, </w:t>
      </w:r>
      <w:r>
        <w:rPr>
          <w:rFonts w:eastAsia="Arial" w:cs="Arial" w:ascii="Times new roman" w:hAnsi="Times new roman"/>
          <w:color w:val="000000"/>
          <w:szCs w:val="20"/>
        </w:rPr>
        <w:t>por igual período, por solicitação justificada do adjudicatário e aceita pela Administração.</w:t>
      </w:r>
    </w:p>
    <w:p>
      <w:pPr>
        <w:pStyle w:val="Normal"/>
        <w:numPr>
          <w:ilvl w:val="1"/>
          <w:numId w:val="1"/>
        </w:numPr>
        <w:spacing w:lineRule="auto" w:line="276" w:before="120" w:after="120"/>
        <w:ind w:left="425" w:hanging="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O Aceite da Nota de Empenho ou do instrumento equivalente, emitida à empresa adjudicada, implica no reconhecimento de que:</w:t>
      </w:r>
    </w:p>
    <w:p>
      <w:pPr>
        <w:pStyle w:val="Normal"/>
        <w:numPr>
          <w:ilvl w:val="2"/>
          <w:numId w:val="1"/>
        </w:numPr>
        <w:spacing w:lineRule="auto" w:line="276" w:before="120" w:after="12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referida Nota está substituindo o contrato, aplicando-se à relação de negócios ali estabelecida as disposições da Lei nº 14.133, de 2021;</w:t>
      </w:r>
    </w:p>
    <w:p>
      <w:pPr>
        <w:pStyle w:val="Normal"/>
        <w:numPr>
          <w:ilvl w:val="2"/>
          <w:numId w:val="1"/>
        </w:numPr>
        <w:spacing w:lineRule="auto" w:line="276" w:before="120" w:after="120"/>
        <w:jc w:val="both"/>
        <w:rPr>
          <w:rFonts w:ascii="Times new roman" w:hAnsi="Times new roman"/>
          <w:i w:val="false"/>
          <w:i w:val="false"/>
          <w:iCs w:val="false"/>
          <w:color w:val="00000A"/>
        </w:rPr>
      </w:pPr>
      <w:r>
        <w:rPr>
          <w:rFonts w:eastAsia="Arial" w:cs="Arial" w:ascii="Times new roman" w:hAnsi="Times new roman"/>
          <w:i w:val="false"/>
          <w:iCs w:val="false"/>
          <w:color w:val="00000A"/>
          <w:szCs w:val="20"/>
        </w:rPr>
        <w:t>a contratada se vincula à sua proposta e às previsões contidas no Aviso de Contratação Direta e seus anexos;</w:t>
      </w:r>
    </w:p>
    <w:p>
      <w:pPr>
        <w:pStyle w:val="Normal"/>
        <w:numPr>
          <w:ilvl w:val="2"/>
          <w:numId w:val="1"/>
        </w:numPr>
        <w:spacing w:lineRule="auto" w:line="276" w:before="120" w:after="120"/>
        <w:jc w:val="both"/>
        <w:rPr>
          <w:rFonts w:ascii="Times new roman" w:hAnsi="Times new roman"/>
        </w:rPr>
      </w:pPr>
      <w:r>
        <w:rPr>
          <w:rFonts w:eastAsia="Arial" w:cs="Arial" w:ascii="Times new roman" w:hAnsi="Times new roman"/>
          <w:i w:val="false"/>
          <w:iCs w:val="false"/>
          <w:color w:val="00000A"/>
          <w:szCs w:val="20"/>
        </w:rPr>
        <w:t>a contratada reconhece que as hipóteses de rescisão são aquelas previstas nos artigos 137 e 138 da Lei nº 14.133/21 e reconhece os direitos da Administração previstos nos artigos 137 a 139 da mesma Lei.</w:t>
      </w:r>
    </w:p>
    <w:p>
      <w:pPr>
        <w:pStyle w:val="Normal"/>
        <w:widowControl/>
        <w:numPr>
          <w:ilvl w:val="1"/>
          <w:numId w:val="1"/>
        </w:numPr>
        <w:suppressAutoHyphens w:val="true"/>
        <w:bidi w:val="0"/>
        <w:spacing w:lineRule="auto" w:line="276" w:before="120" w:after="120"/>
        <w:jc w:val="both"/>
        <w:rPr/>
      </w:pPr>
      <w:r>
        <w:rPr>
          <w:rFonts w:eastAsia="Arial" w:cs="Arial" w:ascii="Times new roman" w:hAnsi="Times new roman"/>
          <w:b w:val="false"/>
          <w:i w:val="false"/>
          <w:caps w:val="false"/>
          <w:smallCaps w:val="false"/>
          <w:color w:val="000000"/>
          <w:spacing w:val="0"/>
          <w:sz w:val="20"/>
          <w:szCs w:val="20"/>
        </w:rPr>
        <w:t>Pela sua característica e especificidade, não há a necessidade de prorrogação contratual para além da vigência comum de 12 (doze) meses, conforme previsto na Lei 14133/2021. conforme previsto na Lei 14133/2021.</w:t>
      </w:r>
    </w:p>
    <w:p>
      <w:pPr>
        <w:pStyle w:val="Normal"/>
        <w:numPr>
          <w:ilvl w:val="1"/>
          <w:numId w:val="1"/>
        </w:numPr>
        <w:spacing w:lineRule="auto" w:line="276" w:before="120" w:after="120"/>
        <w:ind w:left="425" w:hanging="0"/>
        <w:jc w:val="both"/>
        <w:rPr/>
      </w:pPr>
      <w:r>
        <w:rPr>
          <w:rFonts w:cs="Arial" w:ascii="Times new roman" w:hAnsi="Times new roman"/>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pPr>
        <w:pStyle w:val="Normal"/>
        <w:numPr>
          <w:ilvl w:val="0"/>
          <w:numId w:val="1"/>
        </w:numPr>
        <w:spacing w:lineRule="auto" w:line="276" w:before="120" w:after="120"/>
        <w:jc w:val="both"/>
        <w:rPr/>
      </w:pPr>
      <w:r>
        <w:rPr>
          <w:rFonts w:cs="Arial" w:ascii="Times new roman" w:hAnsi="Times new roman"/>
          <w:b/>
        </w:rPr>
        <w:t>SANÇÕES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Comete infração administrativa o fornecedor que cometer quaisquer das infrações previstas no art. 155 da Lei nº 14.133, de 2021, quais sejam: </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parcial do contrato</w:t>
      </w:r>
      <w:r>
        <w:rPr>
          <w:rFonts w:cs="Arial" w:ascii="Times new roman" w:hAnsi="Times new roman"/>
        </w:rPr>
        <w:t>;</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parcial do contrato que cause grave dano à Administração, ao funcionamento dos serviços públicos ou ao interesse coletivo;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dar causa à inexecução total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deixar de entregar a documentação exigida para o certame;</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não manter a proposta, salvo em decorrência de fato superveniente devidamente justificado;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não celebrar o contrato ou não entregar a documentação exigida para a contratação, quando convocado dentro do prazo de validade de sua proposta;</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 xml:space="preserve"> </w:t>
      </w:r>
      <w:r>
        <w:rPr>
          <w:rFonts w:cs="Arial" w:ascii="Times new roman" w:hAnsi="Times new roman"/>
          <w:color w:val="000000"/>
          <w:szCs w:val="20"/>
        </w:rPr>
        <w:t>ensejar o retardamento da execução ou da entrega do objeto da licitação sem motivo justificado;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 xml:space="preserve"> </w:t>
      </w:r>
      <w:r>
        <w:rPr>
          <w:rFonts w:cs="Arial" w:ascii="Times new roman" w:hAnsi="Times new roman"/>
          <w:color w:val="000000"/>
          <w:szCs w:val="20"/>
        </w:rPr>
        <w:t>apresentar declaração ou documentação falsa exigida para o certame ou prestar declaração falsa durante a dispensa eletrônica ou a execução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fraudar a dispensa eletrônica ou praticar ato fraudulento na execução do contrato;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comportar-se de modo inidôneo ou cometer fraude de qualquer natureza;</w:t>
      </w:r>
    </w:p>
    <w:p>
      <w:pPr>
        <w:pStyle w:val="ListParagraph"/>
        <w:numPr>
          <w:ilvl w:val="3"/>
          <w:numId w:val="1"/>
        </w:numPr>
        <w:spacing w:lineRule="auto" w:line="276" w:before="120" w:after="120"/>
        <w:contextualSpacing/>
        <w:jc w:val="both"/>
        <w:rPr>
          <w:rFonts w:ascii="Times new roman" w:hAnsi="Times new roman"/>
        </w:rPr>
      </w:pPr>
      <w:r>
        <w:rPr>
          <w:rFonts w:cs="Arial" w:ascii="Times new roman" w:hAnsi="Times new roman"/>
        </w:rPr>
        <w:t>Considera-se comportamento inidôneo, entre outros, a declaração falsa quanto às condições de participação, quanto ao enquadramento como ME/EPP ou o conluio entre os fornecedores, em qualquer momento da dispensa, mesmo após o encerramento da fase de lances.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praticar atos ilícitos com vistas a frustrar os objetivos deste certame.</w:t>
      </w:r>
    </w:p>
    <w:p>
      <w:pPr>
        <w:pStyle w:val="Normal"/>
        <w:numPr>
          <w:ilvl w:val="2"/>
          <w:numId w:val="1"/>
        </w:numPr>
        <w:spacing w:lineRule="auto" w:line="276" w:before="120" w:after="120"/>
        <w:jc w:val="both"/>
        <w:rPr/>
      </w:pPr>
      <w:r>
        <w:rPr>
          <w:rFonts w:cs="Arial" w:ascii="Times new roman" w:hAnsi="Times new roman"/>
          <w:color w:val="000000"/>
          <w:szCs w:val="20"/>
        </w:rPr>
        <w:t xml:space="preserve">praticar ato lesivo previsto no </w:t>
      </w:r>
      <w:r>
        <w:fldChar w:fldCharType="begin"/>
      </w:r>
      <w:r>
        <w:rPr>
          <w:rStyle w:val="LinkdaInternet"/>
          <w:rFonts w:ascii="Times new roman" w:hAnsi="Times new roman"/>
          <w:color w:val="000000"/>
          <w:lang w:val="zxx" w:eastAsia="zxx" w:bidi="zxx"/>
        </w:rPr>
        <w:instrText> HYPERLINK "http://www.planalto.gov.br/ccivil_03/_Ato2011-2014/2013/Lei/L12846.htm" \l "art5"</w:instrText>
      </w:r>
      <w:r>
        <w:rPr>
          <w:rStyle w:val="LinkdaInternet"/>
          <w:rFonts w:ascii="Times new roman" w:hAnsi="Times new roman"/>
          <w:color w:val="000000"/>
          <w:lang w:val="zxx" w:eastAsia="zxx" w:bidi="zxx"/>
        </w:rPr>
        <w:fldChar w:fldCharType="separate"/>
      </w:r>
      <w:r>
        <w:rPr>
          <w:rStyle w:val="LinkdaInternet"/>
          <w:rFonts w:ascii="Times new roman" w:hAnsi="Times new roman"/>
          <w:color w:val="000000"/>
          <w:lang w:val="zxx" w:eastAsia="zxx" w:bidi="zxx"/>
        </w:rPr>
        <w:t>art. 5º da Lei nº 12.846, de 1º de agosto de 2013.</w:t>
      </w:r>
      <w:r>
        <w:rPr>
          <w:rStyle w:val="LinkdaInternet"/>
          <w:rFonts w:ascii="Times new roman" w:hAnsi="Times new roman"/>
          <w:color w:val="000000"/>
          <w:lang w:val="zxx" w:eastAsia="zxx" w:bidi="zxx"/>
        </w:rPr>
        <w:fldChar w:fldCharType="end"/>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O fornecedor que cometer qualquer das infrações discriminadas nos subitens anteriores ficará sujeito, sem prejuízo da responsabilidade civil e criminal, às seguintes sanções:</w:t>
      </w:r>
    </w:p>
    <w:p>
      <w:pPr>
        <w:pStyle w:val="Normal"/>
        <w:numPr>
          <w:ilvl w:val="2"/>
          <w:numId w:val="5"/>
        </w:numPr>
        <w:spacing w:lineRule="auto" w:line="276" w:before="120" w:after="120"/>
        <w:jc w:val="both"/>
        <w:rPr>
          <w:rFonts w:ascii="Times new roman" w:hAnsi="Times new roman"/>
        </w:rPr>
      </w:pPr>
      <w:r>
        <w:rPr>
          <w:rFonts w:cs="Arial" w:ascii="Times new roman" w:hAnsi="Times new roman"/>
        </w:rPr>
        <w:t>Advertência pela falta do subitem 8.1.1 deste Aviso de Contratação Direta,</w:t>
      </w:r>
      <w:r>
        <w:rPr>
          <w:rFonts w:ascii="Times new roman" w:hAnsi="Times new roman"/>
        </w:rPr>
        <w:t xml:space="preserve"> </w:t>
      </w:r>
      <w:r>
        <w:rPr>
          <w:rFonts w:cs="Arial" w:ascii="Times new roman" w:hAnsi="Times new roman"/>
        </w:rPr>
        <w:t>quando não se justificar a imposição de penalidade mais grave;</w:t>
      </w:r>
    </w:p>
    <w:p>
      <w:pPr>
        <w:pStyle w:val="Normal"/>
        <w:numPr>
          <w:ilvl w:val="2"/>
          <w:numId w:val="5"/>
        </w:numPr>
        <w:spacing w:lineRule="auto" w:line="276" w:before="120" w:after="120"/>
        <w:jc w:val="both"/>
        <w:rPr>
          <w:rFonts w:ascii="Times new roman" w:hAnsi="Times new roman"/>
        </w:rPr>
      </w:pPr>
      <w:r>
        <w:rPr>
          <w:rFonts w:cs="Arial" w:ascii="Times new roman" w:hAnsi="Times new roman"/>
        </w:rPr>
        <w:t>Multa de 20</w:t>
      </w:r>
      <w:r>
        <w:rPr>
          <w:rFonts w:cs="Arial" w:ascii="Times new roman" w:hAnsi="Times new roman"/>
          <w:color w:val="00000A"/>
        </w:rPr>
        <w:t xml:space="preserve">% (vinte por cento) </w:t>
      </w:r>
      <w:r>
        <w:rPr>
          <w:rFonts w:cs="Arial" w:ascii="Times new roman" w:hAnsi="Times new roman"/>
        </w:rPr>
        <w:t>sobre o valor estimado do(s) item(s) prejudicado(s) pela conduta do fornecedor, por qualquer das infrações dos subitens 8.1.1 a 8.1.12;</w:t>
      </w:r>
    </w:p>
    <w:p>
      <w:pPr>
        <w:pStyle w:val="Normal"/>
        <w:numPr>
          <w:ilvl w:val="2"/>
          <w:numId w:val="5"/>
        </w:numPr>
        <w:spacing w:lineRule="auto" w:line="276" w:before="120" w:after="120"/>
        <w:jc w:val="both"/>
        <w:rPr>
          <w:rFonts w:ascii="Times new roman" w:hAnsi="Times new roman"/>
        </w:rPr>
      </w:pPr>
      <w:r>
        <w:rPr>
          <w:rFonts w:cs="Arial" w:ascii="Times new roman" w:hAnsi="Times new roman"/>
          <w:color w:val="000000"/>
          <w:szCs w:val="20"/>
        </w:rPr>
        <w:t>Impedimento de licitar e contratar</w:t>
      </w:r>
      <w:r>
        <w:rPr>
          <w:rFonts w:cs="Arial" w:ascii="Times new roman" w:hAnsi="Times new roman"/>
        </w:rPr>
        <w:t xml:space="preserve"> </w:t>
      </w:r>
      <w:r>
        <w:rPr>
          <w:rFonts w:cs="Arial" w:ascii="Times new roman" w:hAnsi="Times new roman"/>
          <w:color w:val="000000"/>
          <w:szCs w:val="20"/>
        </w:rPr>
        <w:t>no âmbito da Administração Pública direta e indireta do ente federativo que tiver aplicado a sanção, pelo prazo máximo de 3 (três) anos, nos casos dos subitens 8.1.2 a 8.1.7 deste Aviso de Contratação Direta, quando não se justificar a imposição de penalidade mais grave</w:t>
      </w:r>
      <w:r>
        <w:rPr>
          <w:rFonts w:cs="Arial" w:ascii="Times new roman" w:hAnsi="Times new roman"/>
        </w:rPr>
        <w:t>;</w:t>
      </w:r>
    </w:p>
    <w:p>
      <w:pPr>
        <w:pStyle w:val="Normal"/>
        <w:numPr>
          <w:ilvl w:val="2"/>
          <w:numId w:val="5"/>
        </w:numPr>
        <w:spacing w:lineRule="auto" w:line="276" w:before="120" w:after="120"/>
        <w:jc w:val="both"/>
        <w:rPr>
          <w:rFonts w:ascii="Times new roman" w:hAnsi="Times new roman"/>
        </w:rPr>
      </w:pPr>
      <w:r>
        <w:rPr>
          <w:rFonts w:cs="Arial" w:ascii="Times new roman" w:hAnsi="Times new roman"/>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8.1.8 a 8.1.12, bem como nos demais casos que justifiquem a imposição da penalidade mais grave</w:t>
      </w:r>
      <w:r>
        <w:rPr>
          <w:rFonts w:cs="Arial" w:ascii="Times new roman" w:hAnsi="Times new roman"/>
        </w:rPr>
        <w:t>;</w:t>
      </w:r>
    </w:p>
    <w:p>
      <w:pPr>
        <w:pStyle w:val="Normal"/>
        <w:numPr>
          <w:ilvl w:val="1"/>
          <w:numId w:val="1"/>
        </w:numPr>
        <w:spacing w:lineRule="auto" w:line="276" w:before="120" w:after="120"/>
        <w:jc w:val="both"/>
        <w:rPr>
          <w:rFonts w:ascii="Times new roman" w:hAnsi="Times new roman"/>
        </w:rPr>
      </w:pPr>
      <w:r>
        <w:rPr>
          <w:rFonts w:cs="Arial" w:ascii="Times new roman" w:hAnsi="Times new roman"/>
          <w:bCs/>
        </w:rPr>
        <w:t>Na aplicação das sanções serão considerados: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 natureza e a gravidade da infração cometida;</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as peculiaridades do caso concreto;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as circunstâncias agravantes ou atenuantes;</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os danos que dela provierem para a Administração Pública;</w:t>
      </w:r>
    </w:p>
    <w:p>
      <w:pPr>
        <w:pStyle w:val="Normal"/>
        <w:numPr>
          <w:ilvl w:val="2"/>
          <w:numId w:val="1"/>
        </w:numPr>
        <w:spacing w:lineRule="auto" w:line="276" w:before="120" w:after="120"/>
        <w:jc w:val="both"/>
        <w:rPr>
          <w:rFonts w:ascii="Times new roman" w:hAnsi="Times new roman"/>
        </w:rPr>
      </w:pPr>
      <w:r>
        <w:rPr>
          <w:rFonts w:cs="Arial" w:ascii="Times new roman" w:hAnsi="Times new roman"/>
          <w:bCs/>
        </w:rPr>
        <w:t>a implantação ou o aperfeiçoamento de programa de integridade, conforme normas e orientações dos órgãos de controle.</w:t>
      </w:r>
    </w:p>
    <w:p>
      <w:pPr>
        <w:pStyle w:val="Normal"/>
        <w:numPr>
          <w:ilvl w:val="1"/>
          <w:numId w:val="1"/>
        </w:numPr>
        <w:spacing w:lineRule="auto" w:line="276" w:before="120" w:after="120"/>
        <w:ind w:left="425" w:hanging="0"/>
        <w:jc w:val="both"/>
        <w:rPr>
          <w:rFonts w:ascii="Times new roman" w:hAnsi="Times new roman"/>
        </w:rPr>
      </w:pPr>
      <w:bookmarkStart w:id="0" w:name="art156§6"/>
      <w:bookmarkStart w:id="1" w:name="art156§7"/>
      <w:bookmarkStart w:id="2" w:name="art156§8"/>
      <w:bookmarkEnd w:id="0"/>
      <w:bookmarkEnd w:id="1"/>
      <w:bookmarkEnd w:id="2"/>
      <w:r>
        <w:rPr>
          <w:rFonts w:cs="Arial" w:ascii="Times new roman" w:hAnsi="Times new roman"/>
        </w:rPr>
        <w:t>Se a multa aplicada e as indenizações cabíveis forem superiores ao valor de pagamento eventualmente devido pela Administração ao contratado, além da perda desse valor, a diferença será descontada da garantia prestada ou será cobrada judicialmente.</w:t>
      </w:r>
    </w:p>
    <w:p>
      <w:pPr>
        <w:pStyle w:val="Normal"/>
        <w:numPr>
          <w:ilvl w:val="1"/>
          <w:numId w:val="1"/>
        </w:numPr>
        <w:spacing w:lineRule="auto" w:line="276" w:before="120" w:after="120"/>
        <w:ind w:left="425" w:hanging="0"/>
        <w:jc w:val="both"/>
        <w:rPr>
          <w:rFonts w:ascii="Times new roman" w:hAnsi="Times new roman"/>
        </w:rPr>
      </w:pPr>
      <w:bookmarkStart w:id="3" w:name="art156§9"/>
      <w:bookmarkEnd w:id="3"/>
      <w:r>
        <w:rPr>
          <w:rFonts w:cs="Arial" w:ascii="Times new roman" w:hAnsi="Times new roman"/>
        </w:rPr>
        <w:t>A aplicação das sanções previstas neste Aviso de Contratação Direta, em hipótese alguma, a obrigação de reparação integral do dano causado à Administração Pública.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penalidade de multa pode ser aplicada cumulativamente com as demais sanções.</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rPr>
        <w:t>As sanções por atos praticados no decorrer da contratação estão previstas nos anexos a este Aviso.</w:t>
      </w:r>
    </w:p>
    <w:p>
      <w:pPr>
        <w:pStyle w:val="Normal"/>
        <w:spacing w:lineRule="auto" w:line="276" w:before="120" w:after="120"/>
        <w:ind w:left="425" w:hanging="0"/>
        <w:jc w:val="both"/>
        <w:rPr>
          <w:rFonts w:ascii="Times new roman" w:hAnsi="Times new roman" w:cs="Arial"/>
        </w:rPr>
      </w:pPr>
      <w:r>
        <w:rPr>
          <w:rFonts w:cs="Arial" w:ascii="Times new roman" w:hAnsi="Times new roman"/>
        </w:rPr>
      </w:r>
    </w:p>
    <w:p>
      <w:pPr>
        <w:pStyle w:val="PADRO"/>
        <w:keepNext w:val="true"/>
        <w:widowControl/>
        <w:numPr>
          <w:ilvl w:val="0"/>
          <w:numId w:val="1"/>
        </w:numPr>
        <w:shd w:val="clear" w:color="auto" w:fill="auto"/>
        <w:spacing w:before="120" w:after="120"/>
        <w:rPr>
          <w:rFonts w:ascii="Times new roman" w:hAnsi="Times new roman"/>
        </w:rPr>
      </w:pPr>
      <w:r>
        <w:rPr>
          <w:rFonts w:cs="Arial" w:ascii="Times new roman" w:hAnsi="Times new roman"/>
          <w:b/>
        </w:rPr>
        <w:t>DAS DISPOSIÇÕES GERAIS</w:t>
      </w:r>
    </w:p>
    <w:p>
      <w:pPr>
        <w:pStyle w:val="Normal"/>
        <w:numPr>
          <w:ilvl w:val="1"/>
          <w:numId w:val="1"/>
        </w:numPr>
        <w:snapToGrid w:val="false"/>
        <w:spacing w:lineRule="auto" w:line="276" w:before="120" w:after="120"/>
        <w:ind w:left="425" w:hanging="0"/>
        <w:jc w:val="both"/>
        <w:rPr>
          <w:rFonts w:ascii="Times new roman" w:hAnsi="Times new roman"/>
        </w:rPr>
      </w:pPr>
      <w:r>
        <w:rPr>
          <w:rFonts w:ascii="Times new roman" w:hAnsi="Times new roman"/>
        </w:rPr>
        <w:t>O procedimento será divulgado no Comprasnet 4.0 e no Portal Nacional de Contratações Públicas - PNCP, e encaminhado automaticamente aos fornecedores registrados no Sistema de Registro Cadastral Unificado - Sicaf, por mensagem eletrônica, na correspondente linha de fornecimento que pretende atender.</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No caso de todos os fornecedores restarem desclassificados ou inabilitados (procedimento fracassado), a Administração poderá:</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republicar o presente aviso com uma nova data;</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p>
    <w:p>
      <w:pPr>
        <w:pStyle w:val="Normal"/>
        <w:numPr>
          <w:ilvl w:val="3"/>
          <w:numId w:val="1"/>
        </w:numPr>
        <w:spacing w:lineRule="auto" w:line="276" w:before="120" w:after="120"/>
        <w:jc w:val="both"/>
        <w:rPr>
          <w:rFonts w:ascii="Times new roman" w:hAnsi="Times new roman"/>
        </w:rPr>
      </w:pPr>
      <w:r>
        <w:rPr>
          <w:rFonts w:cs="Arial" w:ascii="Times new roman" w:hAnsi="Times new roman"/>
          <w:color w:val="000000"/>
          <w:szCs w:val="20"/>
        </w:rPr>
        <w:t>No caso do subitem anterior, a contratação será operacionalizada fora deste procedimento.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fixar prazo para que possa haver adequação das propostas ou da documentação de habilitação, conforme o caso.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As providências dos subitens 9.2.1 e 9.2.2 acima poderão ser utilizadas se não houver o comparecimento de quaisquer fornecedores interessados (procedimento deserto)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Caberá ao fornecedor acompanhar as operações, ficando responsável pelo ônus decorrente da perda do negócio diante da inobservância de quaisquer mensagens emitidas pela Administração ou de sua desconexão.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Os horários estabelecidos na divulgação deste procedimento e durante o envio de lances observarão o horário de Brasília-DF, inclusive para contagem de tempo e registro no Sistema e na documentação relativa ao procedimento.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Em caso de divergência entre disposições deste Aviso de Contratação Direta e de seus anexos ou demais peças que compõem o processo, prevalecerá as deste Aviso.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Da sessão pública será divulgada Ata no sistema eletrônico.</w:t>
      </w:r>
    </w:p>
    <w:p>
      <w:pPr>
        <w:pStyle w:val="Normal"/>
        <w:numPr>
          <w:ilvl w:val="1"/>
          <w:numId w:val="1"/>
        </w:numPr>
        <w:spacing w:lineRule="auto" w:line="276" w:before="120" w:after="120"/>
        <w:ind w:left="425" w:hanging="0"/>
        <w:jc w:val="both"/>
        <w:rPr>
          <w:rFonts w:ascii="Times new roman" w:hAnsi="Times new roman"/>
        </w:rPr>
      </w:pPr>
      <w:r>
        <w:rPr>
          <w:rFonts w:cs="Arial" w:ascii="Times new roman" w:hAnsi="Times new roman"/>
          <w:color w:val="000000"/>
          <w:szCs w:val="20"/>
        </w:rPr>
        <w:t>Integram este Aviso de Contratação Direta, para todos os fins e efeitos, os seguintes anexos:</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ANEXO I – Documentação exigida para Habilitação;</w:t>
      </w:r>
    </w:p>
    <w:p>
      <w:pPr>
        <w:pStyle w:val="Normal"/>
        <w:numPr>
          <w:ilvl w:val="2"/>
          <w:numId w:val="1"/>
        </w:numPr>
        <w:spacing w:lineRule="auto" w:line="276" w:before="120" w:after="120"/>
        <w:jc w:val="both"/>
        <w:rPr>
          <w:rFonts w:ascii="Times new roman" w:hAnsi="Times new roman"/>
        </w:rPr>
      </w:pPr>
      <w:r>
        <w:rPr>
          <w:rFonts w:cs="Arial" w:ascii="Times new roman" w:hAnsi="Times new roman"/>
          <w:color w:val="000000"/>
          <w:szCs w:val="20"/>
        </w:rPr>
        <w:t>ANEXO II – Relação de Itens;</w:t>
      </w:r>
    </w:p>
    <w:p>
      <w:pPr>
        <w:pStyle w:val="Normal"/>
        <w:numPr>
          <w:ilvl w:val="2"/>
          <w:numId w:val="1"/>
        </w:numPr>
        <w:spacing w:lineRule="auto" w:line="276" w:before="120" w:after="120"/>
        <w:jc w:val="both"/>
        <w:rPr>
          <w:rFonts w:ascii="Times new roman" w:hAnsi="Times new roman"/>
        </w:rPr>
      </w:pPr>
      <w:r>
        <w:rPr>
          <w:rFonts w:cs="Arial" w:ascii="Times new roman" w:hAnsi="Times new roman"/>
          <w:i w:val="false"/>
          <w:iCs w:val="false"/>
          <w:color w:val="00000A"/>
          <w:szCs w:val="20"/>
        </w:rPr>
        <w:t>ANEXO III – Mapa Comparativo</w:t>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120" w:after="120"/>
        <w:jc w:val="both"/>
        <w:rPr>
          <w:rFonts w:cs="Arial"/>
          <w:i/>
          <w:i/>
          <w:iCs/>
          <w:color w:val="FF0000"/>
          <w:szCs w:val="20"/>
        </w:rPr>
      </w:pPr>
      <w:r>
        <w:rPr>
          <w:rFonts w:cs="Arial"/>
          <w:i/>
          <w:iCs/>
          <w:color w:val="FF0000"/>
          <w:szCs w:val="20"/>
        </w:rPr>
      </w:r>
    </w:p>
    <w:p>
      <w:pPr>
        <w:pStyle w:val="Normal"/>
        <w:spacing w:lineRule="auto" w:line="276" w:before="0" w:after="120"/>
        <w:ind w:left="360" w:right="-15" w:hanging="0"/>
        <w:jc w:val="both"/>
        <w:rPr>
          <w:rFonts w:ascii="Times new roman" w:hAnsi="Times new roman" w:cs="Arial"/>
          <w:color w:val="000000"/>
          <w:szCs w:val="20"/>
        </w:rPr>
      </w:pPr>
      <w:r>
        <w:rPr>
          <w:rFonts w:cs="Arial" w:ascii="Times new roman" w:hAnsi="Times new roman"/>
          <w:color w:val="000000"/>
          <w:szCs w:val="20"/>
        </w:rPr>
      </w:r>
    </w:p>
    <w:p>
      <w:pPr>
        <w:pStyle w:val="Normal"/>
        <w:spacing w:lineRule="auto" w:line="276" w:before="0" w:after="120"/>
        <w:ind w:left="360" w:right="-15" w:hanging="0"/>
        <w:jc w:val="right"/>
        <w:rPr/>
      </w:pPr>
      <w:r>
        <w:rPr>
          <w:rFonts w:cs="Arial" w:ascii="Times new roman" w:hAnsi="Times new roman"/>
          <w:color w:val="000000"/>
          <w:szCs w:val="20"/>
        </w:rPr>
        <w:t xml:space="preserve">Jaguarão - RS, </w:t>
      </w:r>
      <w:r>
        <w:rPr>
          <w:rFonts w:eastAsia="Times New Roman" w:cs="Arial" w:ascii="Times new roman" w:hAnsi="Times new roman"/>
          <w:color w:val="000000"/>
          <w:kern w:val="0"/>
          <w:sz w:val="20"/>
          <w:szCs w:val="20"/>
          <w:lang w:val="pt-BR" w:eastAsia="pt-BR" w:bidi="ar-SA"/>
        </w:rPr>
        <w:t>2</w:t>
      </w:r>
      <w:r>
        <w:rPr>
          <w:rFonts w:eastAsia="Times New Roman" w:cs="Arial" w:ascii="Times new roman" w:hAnsi="Times new roman"/>
          <w:color w:val="000000"/>
          <w:kern w:val="0"/>
          <w:sz w:val="20"/>
          <w:szCs w:val="20"/>
          <w:lang w:val="pt-BR" w:eastAsia="pt-BR" w:bidi="ar-SA"/>
        </w:rPr>
        <w:t>4</w:t>
      </w:r>
      <w:r>
        <w:rPr>
          <w:rFonts w:cs="Arial" w:ascii="Times new roman" w:hAnsi="Times new roman"/>
          <w:color w:val="000000"/>
          <w:szCs w:val="20"/>
        </w:rPr>
        <w:t xml:space="preserve"> de </w:t>
      </w:r>
      <w:r>
        <w:rPr>
          <w:rFonts w:cs="Arial" w:ascii="Times new roman" w:hAnsi="Times new roman"/>
          <w:color w:val="000000"/>
          <w:szCs w:val="20"/>
        </w:rPr>
        <w:t>julho</w:t>
      </w:r>
      <w:r>
        <w:rPr>
          <w:rFonts w:cs="Arial" w:ascii="Times new roman" w:hAnsi="Times new roman"/>
          <w:color w:val="000000"/>
          <w:szCs w:val="20"/>
        </w:rPr>
        <w:t xml:space="preserve"> de 2024</w:t>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spacing w:lineRule="auto" w:line="360"/>
        <w:jc w:val="center"/>
        <w:rPr>
          <w:rFonts w:eastAsia="Calibri"/>
          <w:b/>
          <w:b/>
          <w:bCs/>
          <w:sz w:val="24"/>
          <w:szCs w:val="24"/>
          <w:lang w:eastAsia="en-US"/>
        </w:rPr>
      </w:pPr>
      <w:r>
        <w:rPr>
          <w:rFonts w:eastAsia="Calibri"/>
          <w:b/>
          <w:bCs/>
          <w:sz w:val="24"/>
          <w:szCs w:val="24"/>
          <w:lang w:eastAsia="en-US"/>
        </w:rPr>
      </w:r>
    </w:p>
    <w:p>
      <w:pPr>
        <w:pStyle w:val="Normal"/>
        <w:widowControl/>
        <w:suppressAutoHyphens w:val="false"/>
        <w:jc w:val="center"/>
        <w:rPr/>
      </w:pPr>
      <w:r>
        <w:rPr>
          <w:rFonts w:eastAsia="Calibri" w:cs="Tahoma" w:ascii="Times new roman" w:hAnsi="Times new roman"/>
          <w:b/>
          <w:bCs/>
          <w:color w:val="00000A"/>
          <w:sz w:val="20"/>
          <w:szCs w:val="20"/>
          <w:lang w:val="pt-BR" w:eastAsia="en-US" w:bidi="ar-SA"/>
        </w:rPr>
        <w:t>JOÃO MAURÍCIO PASSUELO ZANNETTE</w:t>
      </w:r>
      <w:bookmarkStart w:id="4" w:name="__DdeLink__308_493392956"/>
      <w:r>
        <w:rPr>
          <w:rFonts w:eastAsia="Calibri" w:ascii="Times new roman" w:hAnsi="Times new roman"/>
          <w:b/>
          <w:bCs/>
          <w:sz w:val="20"/>
          <w:szCs w:val="20"/>
          <w:lang w:eastAsia="en-US"/>
        </w:rPr>
        <w:t xml:space="preserve"> – </w:t>
      </w:r>
      <w:r>
        <w:rPr>
          <w:rFonts w:eastAsia="Calibri" w:cs="Tahoma" w:ascii="Times new roman" w:hAnsi="Times new roman"/>
          <w:b/>
          <w:bCs/>
          <w:color w:val="00000A"/>
          <w:sz w:val="20"/>
          <w:szCs w:val="20"/>
          <w:lang w:val="pt-BR" w:eastAsia="en-US" w:bidi="ar-SA"/>
        </w:rPr>
        <w:t>TC</w:t>
      </w:r>
    </w:p>
    <w:p>
      <w:pPr>
        <w:pStyle w:val="Normal"/>
        <w:tabs>
          <w:tab w:val="clear" w:pos="408"/>
          <w:tab w:val="left" w:pos="9498" w:leader="none"/>
        </w:tabs>
        <w:spacing w:lineRule="atLeast" w:line="200"/>
        <w:ind w:left="0" w:right="-1" w:hanging="0"/>
        <w:jc w:val="center"/>
        <w:rPr>
          <w:rFonts w:ascii="Times new roman" w:hAnsi="Times new roman"/>
          <w:b w:val="false"/>
          <w:b w:val="false"/>
          <w:bCs w:val="false"/>
          <w:sz w:val="20"/>
          <w:szCs w:val="20"/>
        </w:rPr>
      </w:pPr>
      <w:r>
        <w:rPr>
          <w:rFonts w:cs="Arial" w:ascii="Times new roman" w:hAnsi="Times new roman"/>
          <w:b w:val="false"/>
          <w:bCs w:val="false"/>
          <w:iCs/>
          <w:color w:val="000000"/>
          <w:sz w:val="20"/>
          <w:szCs w:val="20"/>
        </w:rPr>
        <w:t xml:space="preserve">Ordenador de Despesas do </w:t>
      </w:r>
      <w:bookmarkEnd w:id="4"/>
      <w:r>
        <w:rPr>
          <w:rFonts w:cs="Arial" w:ascii="Times new roman" w:hAnsi="Times new roman"/>
          <w:b w:val="false"/>
          <w:bCs w:val="false"/>
          <w:iCs/>
          <w:color w:val="000000"/>
          <w:spacing w:val="-3"/>
          <w:sz w:val="20"/>
          <w:szCs w:val="20"/>
        </w:rPr>
        <w:t>12º RC Mec</w:t>
      </w:r>
    </w:p>
    <w:p>
      <w:pPr>
        <w:pStyle w:val="Normal"/>
        <w:rPr>
          <w:rFonts w:ascii="Times new roman" w:hAnsi="Times new roman" w:cs="Arial"/>
          <w:lang w:eastAsia="en-US"/>
        </w:rPr>
      </w:pPr>
      <w:r>
        <w:rPr>
          <w:rFonts w:cs="Arial" w:ascii="Times new roman" w:hAnsi="Times new roman"/>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cs="Arial"/>
          <w:b/>
          <w:b/>
          <w:bCs/>
          <w:lang w:eastAsia="en-US"/>
        </w:rPr>
      </w:pPr>
      <w:r>
        <w:rPr>
          <w:rFonts w:cs="Arial" w:ascii="Times new roman" w:hAnsi="Times new roman"/>
          <w:b/>
          <w:bCs/>
          <w:lang w:eastAsia="en-US"/>
        </w:rPr>
      </w:r>
    </w:p>
    <w:p>
      <w:pPr>
        <w:pStyle w:val="Normal"/>
        <w:jc w:val="center"/>
        <w:rPr>
          <w:rFonts w:ascii="Times new roman" w:hAnsi="Times new roman"/>
        </w:rPr>
      </w:pPr>
      <w:r>
        <w:rPr>
          <w:rFonts w:cs="Arial" w:ascii="Times new roman" w:hAnsi="Times new roman"/>
          <w:b/>
          <w:bCs/>
          <w:lang w:eastAsia="en-US"/>
        </w:rPr>
        <w:t>ANEXO I – DOCUMENTAÇÃO EXIGIDA PARA HABILITAÇÃO</w:t>
      </w:r>
    </w:p>
    <w:p>
      <w:pPr>
        <w:pStyle w:val="Normal"/>
        <w:rPr>
          <w:rFonts w:ascii="Times new roman" w:hAnsi="Times new roman" w:cs="Arial"/>
          <w:lang w:eastAsia="en-US"/>
        </w:rPr>
      </w:pPr>
      <w:r>
        <w:rPr>
          <w:rFonts w:cs="Arial" w:ascii="Times new roman" w:hAnsi="Times new roman"/>
          <w:lang w:eastAsia="en-US"/>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bCs/>
          <w:color w:val="000000"/>
          <w:szCs w:val="20"/>
        </w:rPr>
        <w:t xml:space="preserve">Habilitação jurídica: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rPr>
        <w:t>no caso de empresário individual, inscrição no Registro Público de Empresas Mercantis, a cargo da Junta Comercial da respectiva sede;</w:t>
      </w:r>
    </w:p>
    <w:p>
      <w:pPr>
        <w:pStyle w:val="ListParagraph"/>
        <w:numPr>
          <w:ilvl w:val="1"/>
          <w:numId w:val="3"/>
        </w:numPr>
        <w:tabs>
          <w:tab w:val="clear" w:pos="408"/>
          <w:tab w:val="left" w:pos="1440" w:leader="none"/>
        </w:tabs>
        <w:snapToGrid w:val="false"/>
        <w:spacing w:lineRule="auto" w:line="276" w:before="120" w:after="120"/>
        <w:contextualSpacing/>
        <w:jc w:val="both"/>
        <w:rPr>
          <w:rFonts w:ascii="Times new roman" w:hAnsi="Times new roman"/>
        </w:rPr>
      </w:pPr>
      <w:r>
        <w:rPr>
          <w:rFonts w:cs="Arial" w:ascii="Times new roman" w:hAnsi="Times new roman"/>
          <w:color w:val="000000"/>
          <w:szCs w:val="20"/>
        </w:rPr>
        <w:t>Em se tratando de Microempreendedor Individual – MEI: Certificado da Condição de Microempreendedor Individual - CCMEI, cuja aceitação ficará condicionada à verificação da autenticidade no sítio www.portaldoempreendedor.gov.br;</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inscrição no Registro Público de Empresas Mercantis onde opera, com averbação no Registro onde tem sede a matriz, no caso de ser o participante sucursal, filial ou agência;</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No caso de sociedade simples: inscrição do ato constitutivo no Registro Civil das Pessoas Jurídicas do local de sua sede, acompanhada de prova da indicação dos seus administradores;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decreto de autorização, em se tratando de sociedade empresária estrangeira em funcionamento no País;</w:t>
      </w:r>
    </w:p>
    <w:p>
      <w:pPr>
        <w:pStyle w:val="ListParagraph"/>
        <w:numPr>
          <w:ilvl w:val="1"/>
          <w:numId w:val="3"/>
        </w:numPr>
        <w:spacing w:lineRule="auto" w:line="276" w:before="120" w:after="120"/>
        <w:contextualSpacing/>
        <w:jc w:val="both"/>
        <w:rPr>
          <w:rFonts w:ascii="Times new roman" w:hAnsi="Times new roman"/>
        </w:rPr>
      </w:pPr>
      <w:r>
        <w:rPr>
          <w:rFonts w:cs="Arial" w:ascii="Times new roman" w:hAnsi="Times new roman"/>
          <w:bCs/>
          <w:color w:val="000000"/>
          <w:szCs w:val="20"/>
        </w:rPr>
        <w:t>Os documentos acima deverão estar acompanhados de todas as alterações ou da consolidação respectiva.</w:t>
      </w:r>
    </w:p>
    <w:p>
      <w:pPr>
        <w:pStyle w:val="ListParagraph"/>
        <w:spacing w:lineRule="auto" w:line="276" w:before="120" w:after="120"/>
        <w:ind w:left="1134" w:hanging="0"/>
        <w:contextualSpacing/>
        <w:jc w:val="both"/>
        <w:rPr>
          <w:rFonts w:ascii="Times new roman" w:hAnsi="Times new roman" w:cs="Arial"/>
          <w:bCs/>
          <w:color w:val="000000"/>
          <w:szCs w:val="20"/>
        </w:rPr>
      </w:pPr>
      <w:r>
        <w:rPr>
          <w:rFonts w:cs="Arial" w:ascii="Times new roman" w:hAnsi="Times new roman"/>
          <w:bCs/>
          <w:color w:val="000000"/>
          <w:szCs w:val="20"/>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bCs/>
          <w:color w:val="000000"/>
          <w:szCs w:val="20"/>
        </w:rPr>
        <w:t xml:space="preserve"> </w:t>
      </w:r>
      <w:r>
        <w:rPr>
          <w:rFonts w:cs="Arial" w:ascii="Times new roman" w:hAnsi="Times new roman"/>
          <w:b/>
          <w:bCs/>
          <w:color w:val="000000"/>
          <w:szCs w:val="20"/>
        </w:rPr>
        <w:t>Regularidade fiscal, social e trabalhista:</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lang w:eastAsia="en-US"/>
        </w:rPr>
        <w:t>prova de inscrição no Cadastro Nacional de Pessoas Jurídicas ou no Cadastro de Pessoas Físicas, conforme o caso;</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lang w:eastAsia="en-US"/>
        </w:rPr>
        <w:t>prova de regularidade com o Fundo de Garantia do Tempo de Serviço (FGTS);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szCs w:val="20"/>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bCs/>
          <w:i w:val="false"/>
          <w:iCs w:val="false"/>
          <w:color w:val="00000A"/>
          <w:szCs w:val="20"/>
          <w:u w:val="none"/>
        </w:rPr>
        <w:t xml:space="preserve">prova de </w:t>
      </w:r>
      <w:r>
        <w:rPr>
          <w:rFonts w:cs="Arial" w:ascii="Times new roman" w:hAnsi="Times new roman"/>
          <w:i w:val="false"/>
          <w:iCs w:val="false"/>
          <w:color w:val="00000A"/>
          <w:szCs w:val="20"/>
          <w:u w:val="none"/>
        </w:rPr>
        <w:t>inscrição no cadastro de contribuintes estadual e/ou municipal, relativo ao domicílio ou sede do fornecedor, pertinente ao seu ramo de atividade e compatível com o objeto contratual</w:t>
      </w:r>
      <w:r>
        <w:rPr>
          <w:rFonts w:cs="Arial" w:ascii="Times new roman" w:hAnsi="Times new roman"/>
          <w:bCs/>
          <w:i w:val="false"/>
          <w:iCs w:val="false"/>
          <w:color w:val="00000A"/>
          <w:szCs w:val="20"/>
          <w:u w:val="none"/>
        </w:rPr>
        <w:t>;</w:t>
      </w:r>
      <w:r>
        <w:rPr>
          <w:rFonts w:cs="Arial" w:ascii="Times new roman" w:hAnsi="Times new roman"/>
          <w:bCs/>
          <w:szCs w:val="20"/>
        </w:rPr>
        <w:t xml:space="preserve">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i w:val="false"/>
          <w:iCs w:val="false"/>
          <w:color w:val="00000A"/>
          <w:szCs w:val="20"/>
        </w:rPr>
        <w:t>prova de regularidade com a Fazenda Estadual e/ou Municipal do domicílio ou sede do fornecedor, relativa à atividade em cujo exercício contrata ou concorre;</w:t>
      </w:r>
      <w:r>
        <w:rPr>
          <w:rFonts w:cs="Arial" w:ascii="Times new roman" w:hAnsi="Times new roman"/>
          <w:szCs w:val="20"/>
        </w:rPr>
        <w:t xml:space="preserve"> </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i w:val="false"/>
          <w:iCs w:val="false"/>
          <w:color w:val="00000A"/>
          <w:szCs w:val="20"/>
        </w:rPr>
        <w:t xml:space="preserve">caso o fornecedor seja considerado isento dos tributos estaduais </w:t>
      </w:r>
      <w:r>
        <w:rPr>
          <w:rFonts w:cs="Arial" w:ascii="Times new roman" w:hAnsi="Times new roman"/>
          <w:b w:val="false"/>
          <w:bCs w:val="false"/>
          <w:i w:val="false"/>
          <w:iCs w:val="false"/>
          <w:color w:val="00000A"/>
          <w:szCs w:val="20"/>
          <w:u w:val="none"/>
        </w:rPr>
        <w:t>ou</w:t>
      </w:r>
      <w:r>
        <w:rPr>
          <w:rFonts w:cs="Arial" w:ascii="Times new roman" w:hAnsi="Times new roman"/>
          <w:i w:val="false"/>
          <w:iCs w:val="false"/>
          <w:color w:val="00000A"/>
          <w:szCs w:val="20"/>
        </w:rPr>
        <w:t xml:space="preserve"> municipais relacionados ao objeto contratual, deverá comprovar tal condição mediante a apresentação de declaração da Fazenda respectiva do seu domicílio ou sede, ou outra equivalente, na forma da lei;</w:t>
      </w:r>
      <w:r>
        <w:rPr>
          <w:rFonts w:cs="Arial" w:ascii="Times new roman" w:hAnsi="Times new roman"/>
          <w:szCs w:val="20"/>
        </w:rPr>
        <w:t xml:space="preserve"> </w:t>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color w:val="000000"/>
          <w:szCs w:val="20"/>
        </w:rPr>
        <w:t>Qualificação Econômico-Financeira:</w:t>
      </w:r>
      <w:r>
        <w:rPr>
          <w:rFonts w:cs="Arial" w:ascii="Times new roman" w:hAnsi="Times new roman"/>
          <w:b/>
          <w:bCs/>
          <w:iCs/>
          <w:color w:val="000000"/>
          <w:szCs w:val="20"/>
        </w:rPr>
        <w:t xml:space="preserve"> </w:t>
      </w:r>
    </w:p>
    <w:p>
      <w:pPr>
        <w:pStyle w:val="ListParagraph"/>
        <w:numPr>
          <w:ilvl w:val="1"/>
          <w:numId w:val="3"/>
        </w:numPr>
        <w:tabs>
          <w:tab w:val="clear" w:pos="408"/>
          <w:tab w:val="left" w:pos="1440" w:leader="none"/>
        </w:tabs>
        <w:snapToGrid w:val="false"/>
        <w:spacing w:lineRule="auto" w:line="276" w:before="120" w:after="120"/>
        <w:contextualSpacing/>
        <w:jc w:val="both"/>
        <w:rPr>
          <w:rFonts w:ascii="Times new roman" w:hAnsi="Times new roman"/>
        </w:rPr>
      </w:pPr>
      <w:r>
        <w:rPr>
          <w:rFonts w:cs="Arial" w:ascii="Times new roman" w:hAnsi="Times new roman"/>
          <w:color w:val="000000"/>
          <w:szCs w:val="20"/>
        </w:rPr>
        <w:t>certidão negativa de falência expedida pelo distribuidor da sede do fornecedor;</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balanço patrimonial, demonstração de resultado de exercício e demais demonstrações contábeis dos 2 (dois) últimos exercícios sociais;</w:t>
      </w:r>
    </w:p>
    <w:p>
      <w:pPr>
        <w:pStyle w:val="Normal"/>
        <w:numPr>
          <w:ilvl w:val="2"/>
          <w:numId w:val="3"/>
        </w:numPr>
        <w:spacing w:lineRule="auto" w:line="276" w:before="120" w:after="120"/>
        <w:jc w:val="both"/>
        <w:rPr>
          <w:rFonts w:ascii="Times new roman" w:hAnsi="Times new roman"/>
        </w:rPr>
      </w:pPr>
      <w:r>
        <w:rPr>
          <w:rFonts w:cs="Arial" w:ascii="Times new roman" w:hAnsi="Times new roman"/>
          <w:color w:val="000000"/>
          <w:szCs w:val="20"/>
        </w:rPr>
        <w:t>As empresas criadas no exercício financeiro da dispensa deverão atender a todas as exigências da habilitação e poderão substituir os demonstrativos contábeis pelo balanço de abertura.</w:t>
      </w:r>
    </w:p>
    <w:p>
      <w:pPr>
        <w:pStyle w:val="Normal"/>
        <w:numPr>
          <w:ilvl w:val="2"/>
          <w:numId w:val="3"/>
        </w:numPr>
        <w:spacing w:lineRule="auto" w:line="276" w:before="120" w:after="120"/>
        <w:jc w:val="both"/>
        <w:rPr>
          <w:rFonts w:ascii="Times new roman" w:hAnsi="Times new roman"/>
        </w:rPr>
      </w:pPr>
      <w:r>
        <w:rPr>
          <w:rFonts w:cs="Arial" w:ascii="Times new roman" w:hAnsi="Times new roman"/>
          <w:color w:val="000000"/>
          <w:szCs w:val="20"/>
        </w:rPr>
        <w:t>Os documentos referidos acima limitar-se-ão ao último exercício no caso de a pessoa jurídica ter sido constituída há menos de 2 (dois) anos.</w:t>
      </w:r>
    </w:p>
    <w:p>
      <w:pPr>
        <w:pStyle w:val="Normal"/>
        <w:numPr>
          <w:ilvl w:val="1"/>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 xml:space="preserve">comprovação da boa situação financeira da empresa mediante obtenção de índices de Liquidez Geral (LG), Solvência Geral (SG) e Liquidez Corrente (LC), superiores a 1 (um), obtidos pela aplicação das seguintes fórmulas: </w:t>
      </w:r>
    </w:p>
    <w:tbl>
      <w:tblPr>
        <w:tblStyle w:val="Tabelacomgrade"/>
        <w:tblW w:w="6487" w:type="dxa"/>
        <w:jc w:val="left"/>
        <w:tblInd w:w="1132" w:type="dxa"/>
        <w:tblCellMar>
          <w:top w:w="0" w:type="dxa"/>
          <w:left w:w="158" w:type="dxa"/>
          <w:bottom w:w="0" w:type="dxa"/>
          <w:right w:w="108" w:type="dxa"/>
        </w:tblCellMar>
        <w:tblLook w:val="04a0" w:noHBand="0" w:noVBand="1" w:firstColumn="1" w:lastRow="0" w:lastColumn="0" w:firstRow="1"/>
      </w:tblPr>
      <w:tblGrid>
        <w:gridCol w:w="2234"/>
        <w:gridCol w:w="4252"/>
      </w:tblGrid>
      <w:tr>
        <w:trPr/>
        <w:tc>
          <w:tcPr>
            <w:tcW w:w="2234"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LG =</w:t>
            </w:r>
          </w:p>
        </w:tc>
        <w:tc>
          <w:tcPr>
            <w:tcW w:w="4252"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Circulante + Realizável a Longo Prazo</w:t>
            </w:r>
          </w:p>
        </w:tc>
      </w:tr>
      <w:tr>
        <w:trPr/>
        <w:tc>
          <w:tcPr>
            <w:tcW w:w="2234"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4252"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 + Passivo Não Circulante</w:t>
            </w:r>
          </w:p>
        </w:tc>
      </w:tr>
    </w:tbl>
    <w:p>
      <w:pPr>
        <w:pStyle w:val="Normal"/>
        <w:tabs>
          <w:tab w:val="clear" w:pos="408"/>
          <w:tab w:val="left" w:pos="1440" w:leader="none"/>
        </w:tabs>
        <w:snapToGrid w:val="false"/>
        <w:spacing w:lineRule="auto" w:line="276"/>
        <w:ind w:left="1134" w:hanging="0"/>
        <w:jc w:val="both"/>
        <w:rPr>
          <w:rFonts w:ascii="Times new roman" w:hAnsi="Times new roman" w:cs="Arial"/>
          <w:color w:val="000000"/>
          <w:szCs w:val="20"/>
        </w:rPr>
      </w:pPr>
      <w:r>
        <w:rPr>
          <w:rFonts w:cs="Arial" w:ascii="Times new roman" w:hAnsi="Times new roman"/>
          <w:color w:val="000000"/>
          <w:szCs w:val="20"/>
        </w:rPr>
      </w:r>
    </w:p>
    <w:tbl>
      <w:tblPr>
        <w:tblStyle w:val="Tabelacomgrade"/>
        <w:tblW w:w="6629" w:type="dxa"/>
        <w:jc w:val="left"/>
        <w:tblInd w:w="1132" w:type="dxa"/>
        <w:tblCellMar>
          <w:top w:w="0" w:type="dxa"/>
          <w:left w:w="158" w:type="dxa"/>
          <w:bottom w:w="0" w:type="dxa"/>
          <w:right w:w="108" w:type="dxa"/>
        </w:tblCellMar>
        <w:tblLook w:val="04a0" w:noHBand="0" w:noVBand="1" w:firstColumn="1" w:lastRow="0" w:lastColumn="0" w:firstRow="1"/>
      </w:tblPr>
      <w:tblGrid>
        <w:gridCol w:w="2234"/>
        <w:gridCol w:w="4394"/>
      </w:tblGrid>
      <w:tr>
        <w:trPr>
          <w:cantSplit w:val="true"/>
        </w:trPr>
        <w:tc>
          <w:tcPr>
            <w:tcW w:w="2234"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SG =</w:t>
            </w:r>
          </w:p>
        </w:tc>
        <w:tc>
          <w:tcPr>
            <w:tcW w:w="4394"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Total</w:t>
            </w:r>
          </w:p>
        </w:tc>
      </w:tr>
      <w:tr>
        <w:trPr>
          <w:cantSplit w:val="true"/>
        </w:trPr>
        <w:tc>
          <w:tcPr>
            <w:tcW w:w="2234"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4394"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 + Passivo Não Circulante</w:t>
            </w:r>
          </w:p>
        </w:tc>
      </w:tr>
    </w:tbl>
    <w:p>
      <w:pPr>
        <w:pStyle w:val="Normal"/>
        <w:tabs>
          <w:tab w:val="clear" w:pos="408"/>
          <w:tab w:val="left" w:pos="1440" w:leader="none"/>
        </w:tabs>
        <w:snapToGrid w:val="false"/>
        <w:spacing w:lineRule="auto" w:line="276"/>
        <w:ind w:left="1134" w:hanging="0"/>
        <w:jc w:val="both"/>
        <w:rPr>
          <w:rFonts w:ascii="Times new roman" w:hAnsi="Times new roman" w:cs="Arial"/>
          <w:color w:val="000000"/>
          <w:szCs w:val="20"/>
        </w:rPr>
      </w:pPr>
      <w:r>
        <w:rPr>
          <w:rFonts w:cs="Arial" w:ascii="Times new roman" w:hAnsi="Times new roman"/>
          <w:color w:val="000000"/>
          <w:szCs w:val="20"/>
        </w:rPr>
      </w:r>
    </w:p>
    <w:tbl>
      <w:tblPr>
        <w:tblStyle w:val="Tabelacomgrade"/>
        <w:tblW w:w="4786" w:type="dxa"/>
        <w:jc w:val="left"/>
        <w:tblInd w:w="1132" w:type="dxa"/>
        <w:tblCellMar>
          <w:top w:w="0" w:type="dxa"/>
          <w:left w:w="158" w:type="dxa"/>
          <w:bottom w:w="0" w:type="dxa"/>
          <w:right w:w="108" w:type="dxa"/>
        </w:tblCellMar>
        <w:tblLook w:val="04a0" w:noHBand="0" w:noVBand="1" w:firstColumn="1" w:lastRow="0" w:lastColumn="0" w:firstRow="1"/>
      </w:tblPr>
      <w:tblGrid>
        <w:gridCol w:w="2235"/>
        <w:gridCol w:w="2550"/>
      </w:tblGrid>
      <w:tr>
        <w:trPr/>
        <w:tc>
          <w:tcPr>
            <w:tcW w:w="2235" w:type="dxa"/>
            <w:vMerge w:val="restart"/>
            <w:tcBorders>
              <w:top w:val="nil"/>
              <w:left w:val="nil"/>
              <w:bottom w:val="nil"/>
              <w:right w:val="nil"/>
            </w:tcBorders>
            <w:shd w:fill="auto" w:val="clear"/>
            <w:vAlign w:val="cente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LC =</w:t>
            </w:r>
          </w:p>
        </w:tc>
        <w:tc>
          <w:tcPr>
            <w:tcW w:w="2550" w:type="dxa"/>
            <w:tcBorders>
              <w:top w:val="nil"/>
              <w:left w:val="nil"/>
              <w:right w:val="nil"/>
            </w:tcBorders>
            <w:shd w:fill="auto" w:val="clear"/>
            <w:vAlign w:val="bottom"/>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Ativo Circulante</w:t>
            </w:r>
          </w:p>
        </w:tc>
      </w:tr>
      <w:tr>
        <w:trPr/>
        <w:tc>
          <w:tcPr>
            <w:tcW w:w="2235" w:type="dxa"/>
            <w:vMerge w:val="continue"/>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eastAsia="" w:cs="Arial" w:eastAsiaTheme="minorEastAsia"/>
                <w:color w:val="000000"/>
                <w:szCs w:val="20"/>
              </w:rPr>
            </w:pPr>
            <w:r>
              <w:rPr>
                <w:rFonts w:eastAsia="" w:cs="Arial" w:eastAsiaTheme="minorEastAsia" w:ascii="Times new roman" w:hAnsi="Times new roman"/>
                <w:color w:val="000000"/>
                <w:szCs w:val="20"/>
              </w:rPr>
            </w:r>
          </w:p>
        </w:tc>
        <w:tc>
          <w:tcPr>
            <w:tcW w:w="2550" w:type="dxa"/>
            <w:tcBorders>
              <w:top w:val="nil"/>
              <w:left w:val="nil"/>
              <w:bottom w:val="nil"/>
              <w:right w:val="nil"/>
            </w:tcBorders>
            <w:shd w:fill="auto" w:val="clear"/>
          </w:tcPr>
          <w:p>
            <w:pPr>
              <w:pStyle w:val="Normal"/>
              <w:widowControl w:val="false"/>
              <w:tabs>
                <w:tab w:val="clear" w:pos="408"/>
                <w:tab w:val="left" w:pos="1440" w:leader="none"/>
              </w:tabs>
              <w:snapToGrid w:val="false"/>
              <w:spacing w:lineRule="auto" w:line="276" w:before="0" w:after="0"/>
              <w:jc w:val="both"/>
              <w:rPr>
                <w:rFonts w:ascii="Times new roman" w:hAnsi="Times new roman"/>
              </w:rPr>
            </w:pPr>
            <w:r>
              <w:rPr>
                <w:rFonts w:eastAsia="" w:cs="Arial" w:ascii="Times new roman" w:hAnsi="Times new roman" w:eastAsiaTheme="minorEastAsia"/>
                <w:color w:val="000000"/>
                <w:szCs w:val="20"/>
              </w:rPr>
              <w:t>Passivo Circulante</w:t>
            </w:r>
          </w:p>
        </w:tc>
      </w:tr>
    </w:tbl>
    <w:p>
      <w:pPr>
        <w:pStyle w:val="Normal"/>
        <w:numPr>
          <w:ilvl w:val="2"/>
          <w:numId w:val="3"/>
        </w:numPr>
        <w:tabs>
          <w:tab w:val="clear" w:pos="408"/>
          <w:tab w:val="left" w:pos="1440" w:leader="none"/>
        </w:tabs>
        <w:snapToGrid w:val="false"/>
        <w:spacing w:lineRule="auto" w:line="276" w:before="120" w:after="120"/>
        <w:jc w:val="both"/>
        <w:rPr>
          <w:rFonts w:ascii="Times new roman" w:hAnsi="Times new roman"/>
        </w:rPr>
      </w:pPr>
      <w:r>
        <w:rPr>
          <w:rFonts w:cs="Arial" w:ascii="Times new roman" w:hAnsi="Times new roman"/>
          <w:color w:val="000000"/>
          <w:szCs w:val="20"/>
        </w:rPr>
        <w:t>As empresas, que apresentarem resultado inferior ou igual a 1(um) em qualquer dos índices de Liquidez Geral (LG), Solvência Geral (SG) e Liquidez Corrente (LC), deverão comprovar capital ou patrimônio líquido mínimo de</w:t>
      </w:r>
      <w:r>
        <w:rPr>
          <w:rFonts w:cs="Arial" w:ascii="Times new roman" w:hAnsi="Times new roman"/>
          <w:i/>
          <w:iCs/>
          <w:color w:val="FF0000"/>
          <w:szCs w:val="20"/>
        </w:rPr>
        <w:t xml:space="preserve"> </w:t>
      </w:r>
      <w:r>
        <w:rPr>
          <w:rFonts w:cs="Arial" w:ascii="Times new roman" w:hAnsi="Times new roman"/>
          <w:i w:val="false"/>
          <w:iCs w:val="false"/>
          <w:color w:val="00000A"/>
          <w:szCs w:val="20"/>
        </w:rPr>
        <w:t>10% (dez por cento)</w:t>
      </w:r>
      <w:r>
        <w:rPr>
          <w:rFonts w:cs="Arial" w:ascii="Times new roman" w:hAnsi="Times new roman"/>
          <w:i/>
          <w:iCs/>
          <w:color w:val="FF0000"/>
          <w:szCs w:val="20"/>
        </w:rPr>
        <w:t xml:space="preserve"> </w:t>
      </w:r>
      <w:r>
        <w:rPr>
          <w:rFonts w:cs="Arial" w:ascii="Times new roman" w:hAnsi="Times new roman"/>
          <w:color w:val="000000"/>
          <w:szCs w:val="20"/>
        </w:rPr>
        <w:t xml:space="preserve">do valor total estimado da contratação ou do item pertinente. </w:t>
      </w:r>
    </w:p>
    <w:p>
      <w:pPr>
        <w:pStyle w:val="Normal"/>
        <w:rPr>
          <w:rFonts w:ascii="Times new roman" w:hAnsi="Times new roman" w:cs="Arial"/>
          <w:lang w:eastAsia="en-US"/>
        </w:rPr>
      </w:pPr>
      <w:r>
        <w:rPr>
          <w:rFonts w:cs="Arial" w:ascii="Times new roman" w:hAnsi="Times new roman"/>
          <w:lang w:eastAsia="en-US"/>
        </w:rPr>
      </w:r>
    </w:p>
    <w:p>
      <w:pPr>
        <w:pStyle w:val="PADRO"/>
        <w:keepNext w:val="true"/>
        <w:widowControl/>
        <w:numPr>
          <w:ilvl w:val="0"/>
          <w:numId w:val="3"/>
        </w:numPr>
        <w:shd w:val="clear" w:fill="FFFFFF"/>
        <w:spacing w:before="120" w:after="120"/>
        <w:rPr>
          <w:rFonts w:ascii="Times new roman" w:hAnsi="Times new roman"/>
        </w:rPr>
      </w:pPr>
      <w:r>
        <w:rPr>
          <w:rFonts w:cs="Arial" w:ascii="Times new roman" w:hAnsi="Times new roman"/>
          <w:b/>
          <w:color w:val="000000"/>
          <w:szCs w:val="20"/>
        </w:rPr>
        <w:t>Qualificação</w:t>
      </w:r>
      <w:r>
        <w:rPr>
          <w:rFonts w:cs="Arial" w:ascii="Times new roman" w:hAnsi="Times new roman"/>
          <w:b/>
        </w:rPr>
        <w:t xml:space="preserve"> Técnica</w:t>
      </w:r>
    </w:p>
    <w:p>
      <w:pPr>
        <w:pStyle w:val="PADRO"/>
        <w:keepNext w:val="true"/>
        <w:widowControl/>
        <w:numPr>
          <w:ilvl w:val="1"/>
          <w:numId w:val="3"/>
        </w:numPr>
        <w:shd w:val="clear" w:fill="FFFFFF"/>
        <w:spacing w:before="120" w:after="120"/>
        <w:rPr>
          <w:rFonts w:ascii="Times new roman" w:hAnsi="Times new roman"/>
        </w:rPr>
      </w:pPr>
      <w:bookmarkStart w:id="5" w:name="_Hlk519176340"/>
      <w:bookmarkEnd w:id="5"/>
      <w:r>
        <w:rPr>
          <w:rFonts w:cs="Arial" w:ascii="Times new roman" w:hAnsi="Times new roman"/>
          <w:color w:val="000000"/>
          <w:szCs w:val="20"/>
        </w:rPr>
        <w:t xml:space="preserve">Comprovação de aptidão para a prestação dos serviços em características, quantidades e prazos </w:t>
      </w:r>
      <w:r>
        <w:rPr>
          <w:rFonts w:cs="Arial" w:ascii="Times new roman" w:hAnsi="Times new roman"/>
          <w:szCs w:val="20"/>
        </w:rPr>
        <w:t>compatíveis</w:t>
      </w:r>
      <w:r>
        <w:rPr>
          <w:rFonts w:cs="Arial" w:ascii="Times new roman" w:hAnsi="Times new roman"/>
          <w:color w:val="000000"/>
          <w:szCs w:val="20"/>
        </w:rPr>
        <w:t xml:space="preserve"> com o objeto desta dispensa, ou com o item pertinente, mediante a apresentação de atestado(s) fornecido(s) por pessoas jurídicas de direito público ou privado. </w:t>
      </w:r>
    </w:p>
    <w:p>
      <w:pPr>
        <w:pStyle w:val="PADRO"/>
        <w:keepNext w:val="true"/>
        <w:widowControl/>
        <w:numPr>
          <w:ilvl w:val="2"/>
          <w:numId w:val="3"/>
        </w:numPr>
        <w:shd w:val="clear" w:fill="FFFFFF"/>
        <w:spacing w:before="120" w:after="120"/>
        <w:rPr>
          <w:rFonts w:ascii="Times new roman" w:hAnsi="Times new roman"/>
        </w:rPr>
      </w:pPr>
      <w:r>
        <w:rPr>
          <w:rFonts w:cs="Arial" w:ascii="Times new roman" w:hAnsi="Times new roman"/>
          <w:color w:val="000000"/>
          <w:szCs w:val="20"/>
        </w:rPr>
        <w:t>Para fins da comprovação de que trata este subitem, os atestados deverão dizer respeito a contratos executados com as seguintes características mínimas:</w:t>
      </w:r>
    </w:p>
    <w:p>
      <w:pPr>
        <w:pStyle w:val="PADRO"/>
        <w:keepNext w:val="true"/>
        <w:widowControl/>
        <w:numPr>
          <w:ilvl w:val="3"/>
          <w:numId w:val="3"/>
        </w:numPr>
        <w:shd w:val="clear" w:fill="FFFFFF"/>
        <w:spacing w:before="120" w:after="120"/>
        <w:rPr>
          <w:rFonts w:ascii="Times new roman" w:hAnsi="Times new roman"/>
        </w:rPr>
      </w:pPr>
      <w:bookmarkStart w:id="6" w:name="_Hlk5191763401"/>
      <w:bookmarkStart w:id="7" w:name="_Hlk519177062"/>
      <w:bookmarkEnd w:id="6"/>
      <w:bookmarkEnd w:id="7"/>
      <w:r>
        <w:rPr>
          <w:rFonts w:cs="Arial" w:ascii="Times new roman" w:hAnsi="Times new roman"/>
          <w:color w:val="000000"/>
          <w:szCs w:val="20"/>
        </w:rPr>
        <w:t xml:space="preserve">Os atestados deverão referir-se a sua atividade econômica principal ou secundária especificadas no contrato social vigente; </w:t>
      </w:r>
    </w:p>
    <w:p>
      <w:pPr>
        <w:pStyle w:val="PADRO"/>
        <w:keepNext w:val="true"/>
        <w:widowControl/>
        <w:numPr>
          <w:ilvl w:val="3"/>
          <w:numId w:val="3"/>
        </w:numPr>
        <w:shd w:val="clear" w:fill="FFFFFF"/>
        <w:spacing w:before="120" w:after="120"/>
        <w:rPr/>
      </w:pPr>
      <w:r>
        <w:rPr>
          <w:rFonts w:cs="Arial" w:ascii="Times new roman" w:hAnsi="Times new roman"/>
          <w:color w:val="000000"/>
          <w:szCs w:val="20"/>
        </w:rPr>
        <w:t>O fornecedor disponibilizará todas as informações necessárias à comprovação da legitimidade dos atestados, apresentando, dentre outros documentos, cópia do contrato que deu suporte à contratação, endereço atual da contratante e local em que foram prestados os serviços.</w:t>
      </w:r>
    </w:p>
    <w:sectPr>
      <w:footerReference w:type="default" r:id="rId7"/>
      <w:type w:val="nextPage"/>
      <w:pgSz w:w="11906" w:h="16838"/>
      <w:pgMar w:left="1701" w:right="1701" w:header="0" w:top="1417" w:footer="708" w:bottom="1417" w:gutter="0"/>
      <w:pgNumType w:fmt="decimal"/>
      <w:formProt w:val="false"/>
      <w:textDirection w:val="lrTb"/>
      <w:docGrid w:type="default" w:linePitch="360" w:charSpace="163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w:charset w:val="01"/>
    <w:family w:val="roman"/>
    <w:pitch w:val="variable"/>
  </w:font>
  <w:font w:name="Calibri Light">
    <w:charset w:val="01"/>
    <w:family w:val="roman"/>
    <w:pitch w:val="variable"/>
  </w:font>
  <w:font w:name="Ecofont_Spranq_eco_Sans">
    <w:charset w:val="01"/>
    <w:family w:val="roman"/>
    <w:pitch w:val="variable"/>
  </w:font>
  <w:font w:name="Segoe UI">
    <w:charset w:val="01"/>
    <w:family w:val="roman"/>
    <w:pitch w:val="variable"/>
  </w:font>
  <w:font w:name="Liberation Sans">
    <w:altName w:val="Arial"/>
    <w:charset w:val="01"/>
    <w:family w:val="roman"/>
    <w:pitch w:val="variable"/>
  </w:font>
  <w:font w:name="Times new roman">
    <w:charset w:val="01"/>
    <w:family w:val="roman"/>
    <w:pitch w:val="variable"/>
  </w:font>
  <w:font w:name="TiMES NEW ROMAN">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sz w:val="20"/>
        <w:i w:val="false"/>
        <w:b/>
        <w:iCs/>
      </w:rPr>
    </w:lvl>
    <w:lvl w:ilvl="2">
      <w:start w:val="1"/>
      <w:numFmt w:val="decimal"/>
      <w:lvlText w:val="%1.%2.%3."/>
      <w:lvlJc w:val="left"/>
      <w:pPr>
        <w:tabs>
          <w:tab w:val="num" w:pos="0"/>
        </w:tabs>
        <w:ind w:left="1224" w:hanging="504"/>
      </w:pPr>
      <w:rPr>
        <w:i w:val="false"/>
        <w:b/>
        <w:iCs/>
        <w:rFonts w:cs="Arial"/>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3">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rPr>
        <w:b/>
      </w:rPr>
    </w:lvl>
    <w:lvl w:ilvl="2">
      <w:start w:val="1"/>
      <w:numFmt w:val="decimal"/>
      <w:lvlText w:val="%1.%2.%3"/>
      <w:lvlJc w:val="left"/>
      <w:pPr>
        <w:tabs>
          <w:tab w:val="num" w:pos="0"/>
        </w:tabs>
        <w:ind w:left="1854" w:hanging="720"/>
      </w:pPr>
      <w:rPr>
        <w:b/>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decimal"/>
      <w:lvlText w:val="%1.%2.%3."/>
      <w:lvlJc w:val="left"/>
      <w:pPr>
        <w:tabs>
          <w:tab w:val="num" w:pos="0"/>
        </w:tabs>
        <w:ind w:left="1224" w:hanging="504"/>
      </w:pPr>
      <w:rPr>
        <w:i w:val="false"/>
        <w:b w:val="false"/>
        <w:iCs/>
        <w:rFonts w:cs="Arial"/>
        <w:color w:val="00000A"/>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i w:val="false"/>
        <w:b w:val="false"/>
        <w:iCs/>
      </w:rPr>
    </w:lvl>
    <w:lvl w:ilvl="2">
      <w:start w:val="1"/>
      <w:numFmt w:val="lowerLetter"/>
      <w:lvlText w:val="%3)"/>
      <w:lvlJc w:val="left"/>
      <w:pPr>
        <w:tabs>
          <w:tab w:val="num" w:pos="0"/>
        </w:tabs>
        <w:ind w:left="1224" w:hanging="504"/>
      </w:pPr>
      <w:rPr>
        <w:i w:val="false"/>
        <w:b w:val="false"/>
        <w:iCs/>
        <w:color w:val="00000A"/>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efaultTabStop w:val="4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3d0e1a"/>
    <w:pPr>
      <w:widowControl/>
      <w:suppressAutoHyphens w:val="true"/>
      <w:bidi w:val="0"/>
      <w:spacing w:lineRule="auto" w:line="240" w:before="0" w:after="0"/>
      <w:jc w:val="left"/>
    </w:pPr>
    <w:rPr>
      <w:rFonts w:ascii="Arial" w:hAnsi="Arial" w:eastAsia="Times New Roman" w:cs="Tahoma"/>
      <w:color w:val="00000A"/>
      <w:kern w:val="0"/>
      <w:sz w:val="20"/>
      <w:szCs w:val="24"/>
      <w:lang w:val="pt-BR" w:eastAsia="pt-BR" w:bidi="ar-SA"/>
    </w:rPr>
  </w:style>
  <w:style w:type="paragraph" w:styleId="Ttulo1">
    <w:name w:val="Heading 1"/>
    <w:basedOn w:val="Normal"/>
    <w:next w:val="Normal"/>
    <w:link w:val="Ttulo1Char"/>
    <w:uiPriority w:val="9"/>
    <w:qFormat/>
    <w:rsid w:val="009f771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itaoChar" w:customStyle="1">
    <w:name w:val="Citação Char"/>
    <w:basedOn w:val="DefaultParagraphFont"/>
    <w:qFormat/>
    <w:rsid w:val="009f7713"/>
    <w:rPr>
      <w:rFonts w:ascii="Arial" w:hAnsi="Arial" w:eastAsia="Calibri" w:cs="Tahoma"/>
      <w:i/>
      <w:iCs/>
      <w:color w:val="000000"/>
      <w:sz w:val="20"/>
      <w:szCs w:val="24"/>
      <w:shd w:fill="FFFFCC" w:val="clear"/>
    </w:rPr>
  </w:style>
  <w:style w:type="character" w:styleId="Nivel01Char" w:customStyle="1">
    <w:name w:val="Nivel 01 Char"/>
    <w:link w:val="Nivel01"/>
    <w:qFormat/>
    <w:rsid w:val="009f7713"/>
    <w:rPr>
      <w:rFonts w:ascii="Arial" w:hAnsi="Arial" w:eastAsia="" w:cs="Times New Roman" w:eastAsiaTheme="majorEastAsia"/>
      <w:b/>
      <w:bCs/>
      <w:color w:val="000000"/>
      <w:sz w:val="20"/>
      <w:szCs w:val="20"/>
      <w:lang w:eastAsia="pt-BR"/>
    </w:rPr>
  </w:style>
  <w:style w:type="character" w:styleId="Ttulo1Char" w:customStyle="1">
    <w:name w:val="Título 1 Char"/>
    <w:basedOn w:val="DefaultParagraphFont"/>
    <w:uiPriority w:val="9"/>
    <w:qFormat/>
    <w:rsid w:val="009f7713"/>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itao2Char" w:customStyle="1">
    <w:name w:val="citação 2 Char"/>
    <w:basedOn w:val="CitaoChar"/>
    <w:qFormat/>
    <w:rsid w:val="006a70c8"/>
    <w:rPr>
      <w:rFonts w:ascii="Arial" w:hAnsi="Arial" w:eastAsia="Calibri" w:cs="Tahoma"/>
      <w:i/>
      <w:iCs/>
      <w:color w:val="000000"/>
      <w:sz w:val="20"/>
      <w:szCs w:val="20"/>
      <w:shd w:fill="FFFFCC" w:val="clear"/>
    </w:rPr>
  </w:style>
  <w:style w:type="character" w:styleId="QuoteChar" w:customStyle="1">
    <w:name w:val="Quote Char"/>
    <w:basedOn w:val="DefaultParagraphFont"/>
    <w:link w:val="Citao1"/>
    <w:qFormat/>
    <w:rsid w:val="00a728b9"/>
    <w:rPr>
      <w:rFonts w:ascii="Ecofont_Spranq_eco_Sans" w:hAnsi="Ecofont_Spranq_eco_Sans" w:eastAsia="Calibri" w:cs="Tahoma"/>
      <w:i/>
      <w:iCs/>
      <w:color w:val="000000"/>
      <w:shd w:fill="FFFFCC" w:val="clear"/>
    </w:rPr>
  </w:style>
  <w:style w:type="character" w:styleId="Annotationreference">
    <w:name w:val="annotation reference"/>
    <w:basedOn w:val="DefaultParagraphFont"/>
    <w:semiHidden/>
    <w:unhideWhenUsed/>
    <w:qFormat/>
    <w:rsid w:val="003d08af"/>
    <w:rPr>
      <w:sz w:val="16"/>
      <w:szCs w:val="16"/>
    </w:rPr>
  </w:style>
  <w:style w:type="character" w:styleId="TextodecomentrioChar" w:customStyle="1">
    <w:name w:val="Texto de comentário Char"/>
    <w:basedOn w:val="DefaultParagraphFont"/>
    <w:qFormat/>
    <w:rsid w:val="003d08af"/>
    <w:rPr>
      <w:rFonts w:ascii="Arial" w:hAnsi="Arial" w:eastAsia="Times New Roman" w:cs="Tahoma"/>
      <w:sz w:val="20"/>
      <w:szCs w:val="20"/>
      <w:lang w:eastAsia="pt-BR"/>
    </w:rPr>
  </w:style>
  <w:style w:type="character" w:styleId="AssuntodocomentrioChar" w:customStyle="1">
    <w:name w:val="Assunto do comentário Char"/>
    <w:basedOn w:val="TextodecomentrioChar"/>
    <w:uiPriority w:val="99"/>
    <w:semiHidden/>
    <w:qFormat/>
    <w:rsid w:val="003d08af"/>
    <w:rPr>
      <w:rFonts w:ascii="Arial" w:hAnsi="Arial" w:eastAsia="Times New Roman" w:cs="Tahoma"/>
      <w:b/>
      <w:bCs/>
      <w:sz w:val="20"/>
      <w:szCs w:val="20"/>
      <w:lang w:eastAsia="pt-BR"/>
    </w:rPr>
  </w:style>
  <w:style w:type="character" w:styleId="LinkdaInternet">
    <w:name w:val="Link da Internet"/>
    <w:qFormat/>
    <w:rPr>
      <w:color w:val="000080"/>
      <w:u w:val="single"/>
      <w:lang w:val="zxx" w:eastAsia="zxx" w:bidi="zxx"/>
    </w:rPr>
  </w:style>
  <w:style w:type="character" w:styleId="Nivel4Char" w:customStyle="1">
    <w:name w:val="Nivel 4 Char"/>
    <w:basedOn w:val="DefaultParagraphFont"/>
    <w:link w:val="Nivel4"/>
    <w:qFormat/>
    <w:rsid w:val="002f5eff"/>
    <w:rPr>
      <w:rFonts w:ascii="Ecofont_Spranq_eco_Sans" w:hAnsi="Ecofont_Spranq_eco_Sans" w:eastAsia="Arial Unicode MS" w:cs="Arial"/>
      <w:sz w:val="20"/>
      <w:szCs w:val="20"/>
      <w:lang w:eastAsia="pt-BR"/>
    </w:rPr>
  </w:style>
  <w:style w:type="character" w:styleId="TextodebaloChar" w:customStyle="1">
    <w:name w:val="Texto de balão Char"/>
    <w:basedOn w:val="DefaultParagraphFont"/>
    <w:uiPriority w:val="99"/>
    <w:semiHidden/>
    <w:qFormat/>
    <w:rsid w:val="00731d60"/>
    <w:rPr>
      <w:rFonts w:ascii="Segoe UI" w:hAnsi="Segoe UI" w:eastAsia="Times New Roman" w:cs="Segoe UI"/>
      <w:sz w:val="18"/>
      <w:szCs w:val="18"/>
      <w:lang w:eastAsia="pt-BR"/>
    </w:rPr>
  </w:style>
  <w:style w:type="character" w:styleId="CabealhoChar" w:customStyle="1">
    <w:name w:val="Cabeçalho Char"/>
    <w:basedOn w:val="DefaultParagraphFont"/>
    <w:uiPriority w:val="99"/>
    <w:qFormat/>
    <w:rsid w:val="00805244"/>
    <w:rPr>
      <w:rFonts w:ascii="Arial" w:hAnsi="Arial" w:eastAsia="Times New Roman" w:cs="Tahoma"/>
      <w:sz w:val="20"/>
      <w:szCs w:val="24"/>
      <w:lang w:eastAsia="pt-BR"/>
    </w:rPr>
  </w:style>
  <w:style w:type="character" w:styleId="RodapChar" w:customStyle="1">
    <w:name w:val="Rodapé Char"/>
    <w:basedOn w:val="DefaultParagraphFont"/>
    <w:uiPriority w:val="99"/>
    <w:qFormat/>
    <w:rsid w:val="00805244"/>
    <w:rPr>
      <w:rFonts w:ascii="Arial" w:hAnsi="Arial" w:eastAsia="Times New Roman" w:cs="Tahoma"/>
      <w:sz w:val="20"/>
      <w:szCs w:val="24"/>
      <w:lang w:eastAsia="pt-BR"/>
    </w:rPr>
  </w:style>
  <w:style w:type="character" w:styleId="Tex5a">
    <w:name w:val="tex5a"/>
    <w:basedOn w:val="DefaultParagraphFont"/>
    <w:qFormat/>
    <w:rPr/>
  </w:style>
  <w:style w:type="character" w:styleId="Smbolosdenumerao">
    <w:name w:val="Símbolos de numeraç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Quote">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lang w:eastAsia="en-US"/>
    </w:rPr>
  </w:style>
  <w:style w:type="paragraph" w:styleId="Nivel01" w:customStyle="1">
    <w:name w:val="Nivel 01"/>
    <w:basedOn w:val="Ttulo1"/>
    <w:next w:val="Normal"/>
    <w:link w:val="Nivel01Char"/>
    <w:qFormat/>
    <w:rsid w:val="009f7713"/>
    <w:pPr>
      <w:spacing w:lineRule="auto" w:line="276" w:before="480" w:after="120"/>
      <w:ind w:right="-15" w:hanging="0"/>
      <w:jc w:val="both"/>
    </w:pPr>
    <w:rPr>
      <w:rFonts w:ascii="Arial" w:hAnsi="Arial" w:cs="Times New Roman"/>
      <w:b/>
      <w:bCs/>
      <w:color w:val="000000"/>
      <w:sz w:val="20"/>
      <w:szCs w:val="20"/>
    </w:rPr>
  </w:style>
  <w:style w:type="paragraph" w:styleId="PADRO" w:customStyle="1">
    <w:name w:val="PADRÃO"/>
    <w:qFormat/>
    <w:rsid w:val="009f7713"/>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ListParagraph">
    <w:name w:val="List Paragraph"/>
    <w:basedOn w:val="Normal"/>
    <w:uiPriority w:val="34"/>
    <w:qFormat/>
    <w:rsid w:val="006a70c8"/>
    <w:pPr>
      <w:spacing w:before="0" w:after="0"/>
      <w:ind w:left="720" w:hanging="0"/>
      <w:contextualSpacing/>
    </w:pPr>
    <w:rPr/>
  </w:style>
  <w:style w:type="paragraph" w:styleId="Citao2" w:customStyle="1">
    <w:name w:val="citação 2"/>
    <w:basedOn w:val="Quote"/>
    <w:qFormat/>
    <w:rsid w:val="006a70c8"/>
    <w:pPr>
      <w:shd w:val="clear" w:fill="FFFFCC"/>
    </w:pPr>
    <w:rPr>
      <w:szCs w:val="20"/>
    </w:rPr>
  </w:style>
  <w:style w:type="paragraph" w:styleId="Citao1" w:customStyle="1">
    <w:name w:val="Citação1"/>
    <w:basedOn w:val="Normal"/>
    <w:next w:val="Normal"/>
    <w:link w:val="QuoteChar"/>
    <w:qFormat/>
    <w:rsid w:val="00a728b9"/>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sz w:val="22"/>
      <w:szCs w:val="22"/>
      <w:lang w:eastAsia="en-US"/>
    </w:rPr>
  </w:style>
  <w:style w:type="paragraph" w:styleId="Annotationtext">
    <w:name w:val="annotation text"/>
    <w:basedOn w:val="Normal"/>
    <w:link w:val="TextodecomentrioChar"/>
    <w:unhideWhenUsed/>
    <w:qFormat/>
    <w:rsid w:val="003d08af"/>
    <w:pPr/>
    <w:rPr>
      <w:szCs w:val="20"/>
    </w:rPr>
  </w:style>
  <w:style w:type="paragraph" w:styleId="Annotationsubject">
    <w:name w:val="annotation subject"/>
    <w:basedOn w:val="Annotationtext"/>
    <w:link w:val="AssuntodocomentrioChar"/>
    <w:uiPriority w:val="99"/>
    <w:semiHidden/>
    <w:unhideWhenUsed/>
    <w:qFormat/>
    <w:rsid w:val="003d08af"/>
    <w:pPr/>
    <w:rPr>
      <w:b/>
      <w:bCs/>
    </w:rPr>
  </w:style>
  <w:style w:type="paragraph" w:styleId="Nivel1" w:customStyle="1">
    <w:name w:val="Nivel1"/>
    <w:basedOn w:val="Ttulo1"/>
    <w:qFormat/>
    <w:rsid w:val="00fa4ef2"/>
    <w:pPr>
      <w:spacing w:lineRule="auto" w:line="276" w:before="480" w:after="0"/>
      <w:ind w:left="644" w:hanging="360"/>
      <w:jc w:val="both"/>
    </w:pPr>
    <w:rPr>
      <w:rFonts w:ascii="Arial" w:hAnsi="Arial" w:cs="Times New Roman"/>
      <w:b/>
      <w:color w:val="000000"/>
      <w:sz w:val="20"/>
      <w:szCs w:val="20"/>
    </w:rPr>
  </w:style>
  <w:style w:type="paragraph" w:styleId="Nivel2" w:customStyle="1">
    <w:name w:val="Nivel 2"/>
    <w:qFormat/>
    <w:rsid w:val="002f5eff"/>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 1"/>
    <w:basedOn w:val="Nivel2"/>
    <w:qFormat/>
    <w:rsid w:val="002f5eff"/>
    <w:pPr/>
    <w:rPr>
      <w:rFonts w:cs="Arial"/>
      <w:b/>
    </w:rPr>
  </w:style>
  <w:style w:type="paragraph" w:styleId="Nivel3" w:customStyle="1">
    <w:name w:val="Nivel 3"/>
    <w:basedOn w:val="Nivel2"/>
    <w:qFormat/>
    <w:rsid w:val="002f5eff"/>
    <w:pPr/>
    <w:rPr>
      <w:rFonts w:cs="Arial"/>
      <w:color w:val="000000"/>
    </w:rPr>
  </w:style>
  <w:style w:type="paragraph" w:styleId="Nivel4" w:customStyle="1">
    <w:name w:val="Nivel 4"/>
    <w:basedOn w:val="Nivel3"/>
    <w:link w:val="Nivel4Char"/>
    <w:qFormat/>
    <w:rsid w:val="002f5eff"/>
    <w:pPr/>
    <w:rPr>
      <w:color w:val="00000A"/>
    </w:rPr>
  </w:style>
  <w:style w:type="paragraph" w:styleId="Nivel5" w:customStyle="1">
    <w:name w:val="Nivel 5"/>
    <w:basedOn w:val="Nivel4"/>
    <w:qFormat/>
    <w:rsid w:val="002f5eff"/>
    <w:pPr>
      <w:tabs>
        <w:tab w:val="clear" w:pos="408"/>
        <w:tab w:val="left" w:pos="360" w:leader="none"/>
      </w:tabs>
    </w:pPr>
    <w:rPr/>
  </w:style>
  <w:style w:type="paragraph" w:styleId="BalloonText">
    <w:name w:val="Balloon Text"/>
    <w:basedOn w:val="Normal"/>
    <w:link w:val="TextodebaloChar"/>
    <w:uiPriority w:val="99"/>
    <w:semiHidden/>
    <w:unhideWhenUsed/>
    <w:qFormat/>
    <w:rsid w:val="00731d60"/>
    <w:pPr/>
    <w:rPr>
      <w:rFonts w:ascii="Segoe UI" w:hAnsi="Segoe UI" w:cs="Segoe UI"/>
      <w:sz w:val="18"/>
      <w:szCs w:val="18"/>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805244"/>
    <w:pPr>
      <w:tabs>
        <w:tab w:val="clear" w:pos="408"/>
        <w:tab w:val="center" w:pos="4252" w:leader="none"/>
        <w:tab w:val="right" w:pos="8504" w:leader="none"/>
      </w:tabs>
    </w:pPr>
    <w:rPr/>
  </w:style>
  <w:style w:type="paragraph" w:styleId="Rodap">
    <w:name w:val="Footer"/>
    <w:basedOn w:val="Normal"/>
    <w:link w:val="RodapChar"/>
    <w:uiPriority w:val="99"/>
    <w:unhideWhenUsed/>
    <w:rsid w:val="00805244"/>
    <w:pPr>
      <w:tabs>
        <w:tab w:val="clear" w:pos="408"/>
        <w:tab w:val="center" w:pos="4252" w:leader="none"/>
        <w:tab w:val="right" w:pos="8504" w:leader="none"/>
      </w:tabs>
    </w:pP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2f5eff"/>
    <w:pPr>
      <w:spacing w:after="0" w:line="240" w:lineRule="auto"/>
    </w:pPr>
    <w:rPr>
      <w:rFonts w:eastAsiaTheme="minorEastAsia"/>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www.gov.br/compras/pt-br/" TargetMode="External"/><Relationship Id="rId4" Type="http://schemas.openxmlformats.org/officeDocument/2006/relationships/hyperlink" Target="http://www.planalto.gov.br/ccivil_03/LEIS/L6404consol.htm"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footer" Target="footer1.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CA9B0-2A21-476E-B3C3-3AEEEA51F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Application>LibreOffice/6.4.7.2$Linux_X86_64 LibreOffice_project/40$Build-2</Application>
  <Pages>12</Pages>
  <Words>5155</Words>
  <Characters>29763</Characters>
  <CharactersWithSpaces>34541</CharactersWithSpaces>
  <Paragraphs>237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2021-08-26T12:01:00Z</dcterms:created>
  <dc:creator>Hugo Sales</dc:creator>
  <dc:description/>
  <dc:language>pt-BR</dc:language>
  <cp:lastModifiedBy/>
  <dcterms:modified xsi:type="dcterms:W3CDTF">2024-07-24T16:08:04Z</dcterms:modified>
  <cp:revision>21</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